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70" w:type="dxa"/>
          <w:right w:w="70" w:type="dxa"/>
        </w:tblCellMar>
        <w:tblLook w:val="0000" w:firstRow="0" w:lastRow="0" w:firstColumn="0" w:lastColumn="0" w:noHBand="0" w:noVBand="0"/>
      </w:tblPr>
      <w:tblGrid>
        <w:gridCol w:w="3079"/>
        <w:gridCol w:w="3066"/>
        <w:gridCol w:w="3065"/>
      </w:tblGrid>
      <w:tr w:rsidR="00D94D31" w:rsidRPr="00D94D31" w14:paraId="422110C6" w14:textId="77777777" w:rsidTr="00B934FE">
        <w:trPr>
          <w:trHeight w:val="1858"/>
        </w:trPr>
        <w:tc>
          <w:tcPr>
            <w:tcW w:w="1671" w:type="pct"/>
            <w:vAlign w:val="center"/>
          </w:tcPr>
          <w:p w14:paraId="51D61C71" w14:textId="6BAD673D" w:rsidR="00D94D31" w:rsidRPr="00D94D31" w:rsidRDefault="00D94D31" w:rsidP="00D94D31">
            <w:pPr>
              <w:spacing w:beforeLines="0" w:before="0"/>
              <w:jc w:val="left"/>
              <w:rPr>
                <w:b/>
                <w:sz w:val="24"/>
                <w:szCs w:val="20"/>
              </w:rPr>
            </w:pPr>
          </w:p>
        </w:tc>
        <w:tc>
          <w:tcPr>
            <w:tcW w:w="1664" w:type="pct"/>
          </w:tcPr>
          <w:p w14:paraId="1E0DEC5A" w14:textId="0866A8AA" w:rsidR="00D94D31" w:rsidRPr="00D94D31" w:rsidRDefault="00D94D31" w:rsidP="00D94D31">
            <w:pPr>
              <w:keepNext/>
              <w:spacing w:beforeLines="0" w:before="0"/>
              <w:jc w:val="center"/>
              <w:outlineLvl w:val="0"/>
              <w:rPr>
                <w:b/>
                <w:bCs/>
                <w:color w:val="00558C"/>
                <w:sz w:val="24"/>
                <w:szCs w:val="24"/>
                <w:lang w:val="es-ES"/>
              </w:rPr>
            </w:pPr>
            <w:r w:rsidRPr="00D94D31">
              <w:rPr>
                <w:rFonts w:ascii="Arial" w:hAnsi="Arial" w:cs="Arial"/>
                <w:b/>
                <w:bCs/>
                <w:noProof/>
                <w:sz w:val="24"/>
                <w:szCs w:val="24"/>
                <w:lang w:val="en-IE" w:eastAsia="en-IE"/>
              </w:rPr>
              <w:drawing>
                <wp:anchor distT="0" distB="0" distL="114300" distR="114300" simplePos="0" relativeHeight="251657216" behindDoc="1" locked="0" layoutInCell="1" allowOverlap="1" wp14:anchorId="365A34A6" wp14:editId="5E01C7EF">
                  <wp:simplePos x="0" y="0"/>
                  <wp:positionH relativeFrom="column">
                    <wp:posOffset>120650</wp:posOffset>
                  </wp:positionH>
                  <wp:positionV relativeFrom="paragraph">
                    <wp:posOffset>1905</wp:posOffset>
                  </wp:positionV>
                  <wp:extent cx="1589164" cy="1123454"/>
                  <wp:effectExtent l="0" t="0" r="0" b="635"/>
                  <wp:wrapNone/>
                  <wp:docPr id="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Blue.jpg"/>
                          <pic:cNvPicPr/>
                        </pic:nvPicPr>
                        <pic:blipFill>
                          <a:blip r:embed="rId8">
                            <a:extLst>
                              <a:ext uri="{28A0092B-C50C-407E-A947-70E740481C1C}">
                                <a14:useLocalDpi xmlns:a14="http://schemas.microsoft.com/office/drawing/2010/main" val="0"/>
                              </a:ext>
                            </a:extLst>
                          </a:blip>
                          <a:stretch>
                            <a:fillRect/>
                          </a:stretch>
                        </pic:blipFill>
                        <pic:spPr>
                          <a:xfrm>
                            <a:off x="0" y="0"/>
                            <a:ext cx="1589164" cy="1123454"/>
                          </a:xfrm>
                          <a:prstGeom prst="rect">
                            <a:avLst/>
                          </a:prstGeom>
                        </pic:spPr>
                      </pic:pic>
                    </a:graphicData>
                  </a:graphic>
                </wp:anchor>
              </w:drawing>
            </w:r>
          </w:p>
        </w:tc>
        <w:tc>
          <w:tcPr>
            <w:tcW w:w="1664" w:type="pct"/>
            <w:vAlign w:val="center"/>
          </w:tcPr>
          <w:p w14:paraId="63B56CF0" w14:textId="765E71FD" w:rsidR="00D94D31" w:rsidRPr="00D94D31" w:rsidRDefault="00D94D31" w:rsidP="00F33FFD">
            <w:pPr>
              <w:spacing w:beforeLines="0" w:before="0"/>
              <w:rPr>
                <w:b/>
                <w:sz w:val="24"/>
                <w:szCs w:val="20"/>
                <w:lang w:val="es-ES"/>
              </w:rPr>
            </w:pPr>
          </w:p>
        </w:tc>
        <w:bookmarkStart w:id="0" w:name="_GoBack"/>
        <w:bookmarkEnd w:id="0"/>
      </w:tr>
    </w:tbl>
    <w:p w14:paraId="6E640BED" w14:textId="65613A2D" w:rsidR="004E619F" w:rsidRDefault="00816FAE" w:rsidP="00520674">
      <w:pPr>
        <w:pStyle w:val="Heading1"/>
        <w:rPr>
          <w:sz w:val="22"/>
          <w:szCs w:val="22"/>
        </w:rPr>
      </w:pPr>
      <w:r>
        <w:rPr>
          <w:noProof/>
          <w:lang w:val="en-IE" w:eastAsia="en-IE"/>
        </w:rPr>
        <mc:AlternateContent>
          <mc:Choice Requires="wps">
            <w:drawing>
              <wp:anchor distT="45720" distB="45720" distL="114300" distR="114300" simplePos="0" relativeHeight="251659264" behindDoc="0" locked="0" layoutInCell="1" allowOverlap="1" wp14:anchorId="6EA96A0C" wp14:editId="5C07FE4B">
                <wp:simplePos x="0" y="0"/>
                <wp:positionH relativeFrom="column">
                  <wp:posOffset>4019233</wp:posOffset>
                </wp:positionH>
                <wp:positionV relativeFrom="paragraph">
                  <wp:posOffset>-1701800</wp:posOffset>
                </wp:positionV>
                <wp:extent cx="1019175" cy="1404620"/>
                <wp:effectExtent l="0" t="0" r="28575"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404620"/>
                        </a:xfrm>
                        <a:prstGeom prst="rect">
                          <a:avLst/>
                        </a:prstGeom>
                        <a:solidFill>
                          <a:srgbClr val="FFFFFF"/>
                        </a:solidFill>
                        <a:ln w="9525">
                          <a:solidFill>
                            <a:srgbClr val="000000"/>
                          </a:solidFill>
                          <a:miter lim="800000"/>
                          <a:headEnd/>
                          <a:tailEnd/>
                        </a:ln>
                      </wps:spPr>
                      <wps:txbx>
                        <w:txbxContent>
                          <w:p w14:paraId="0A8E8D9D" w14:textId="6FE93197" w:rsidR="00816FAE" w:rsidRDefault="00816FAE">
                            <w:r>
                              <w:t>ENAV19-4.10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EA96A0C" id="_x0000_t202" coordsize="21600,21600" o:spt="202" path="m,l,21600r21600,l21600,xe">
                <v:stroke joinstyle="miter"/>
                <v:path gradientshapeok="t" o:connecttype="rect"/>
              </v:shapetype>
              <v:shape id="Text Box 2" o:spid="_x0000_s1026" type="#_x0000_t202" style="position:absolute;left:0;text-align:left;margin-left:316.5pt;margin-top:-134pt;width:80.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">
                <v:textbox style="mso-fit-shape-to-text:t">
                  <w:txbxContent>
                    <w:p w14:paraId="0A8E8D9D" w14:textId="6FE93197" w:rsidR="00816FAE" w:rsidRDefault="00816FAE">
                      <w:r>
                        <w:t>ENAV19-4.10</w:t>
                      </w:r>
                    </w:p>
                  </w:txbxContent>
                </v:textbox>
                <w10:wrap type="square"/>
              </v:shape>
            </w:pict>
          </mc:Fallback>
        </mc:AlternateContent>
      </w:r>
    </w:p>
    <w:p w14:paraId="2766522D" w14:textId="1FBBB9D1" w:rsidR="004E619F" w:rsidRPr="00520674" w:rsidRDefault="00531987" w:rsidP="004E619F">
      <w:pPr>
        <w:pStyle w:val="Heading1"/>
        <w:jc w:val="center"/>
        <w:rPr>
          <w:sz w:val="32"/>
          <w:szCs w:val="32"/>
        </w:rPr>
      </w:pPr>
      <w:r w:rsidRPr="00520674">
        <w:rPr>
          <w:sz w:val="32"/>
          <w:szCs w:val="32"/>
        </w:rPr>
        <w:t xml:space="preserve">Report of </w:t>
      </w:r>
      <w:r w:rsidR="00F33FFD" w:rsidRPr="00520674">
        <w:rPr>
          <w:sz w:val="32"/>
          <w:szCs w:val="32"/>
        </w:rPr>
        <w:t>12</w:t>
      </w:r>
      <w:r w:rsidR="00F33FFD" w:rsidRPr="00520674">
        <w:rPr>
          <w:sz w:val="32"/>
          <w:szCs w:val="32"/>
          <w:vertAlign w:val="superscript"/>
        </w:rPr>
        <w:t>th</w:t>
      </w:r>
      <w:r w:rsidR="00F33FFD" w:rsidRPr="00520674">
        <w:rPr>
          <w:sz w:val="32"/>
          <w:szCs w:val="32"/>
        </w:rPr>
        <w:t xml:space="preserve"> Joint IMO/ITU EG meeting</w:t>
      </w:r>
    </w:p>
    <w:p w14:paraId="23047D78" w14:textId="48B26463" w:rsidR="00202E0B" w:rsidRDefault="00531987" w:rsidP="00EC34F1">
      <w:pPr>
        <w:jc w:val="center"/>
      </w:pPr>
      <w:r>
        <w:t>Note by the IALA representative Stefan Bober</w:t>
      </w:r>
    </w:p>
    <w:p w14:paraId="42D1F080" w14:textId="47132C0D" w:rsidR="0075141F" w:rsidRPr="00775A78" w:rsidRDefault="00CB34BA" w:rsidP="00F25E93">
      <w:pPr>
        <w:pStyle w:val="Heading4"/>
      </w:pPr>
      <w:r>
        <w:t>BACKGROUND</w:t>
      </w:r>
    </w:p>
    <w:p w14:paraId="33AD0F22" w14:textId="4A8A3CC4" w:rsidR="00BA197C" w:rsidRDefault="00F33FFD" w:rsidP="00BA197C">
      <w:r>
        <w:t>The 12</w:t>
      </w:r>
      <w:r w:rsidRPr="00F33FFD">
        <w:rPr>
          <w:vertAlign w:val="superscript"/>
        </w:rPr>
        <w:t>th</w:t>
      </w:r>
      <w:r>
        <w:t xml:space="preserve"> meeting of the Joint IMO/ITU Expert Group on Maritime Radiocommunication Matters was held at IMO Headquarters in London from 11</w:t>
      </w:r>
      <w:r w:rsidRPr="00F33FFD">
        <w:rPr>
          <w:vertAlign w:val="superscript"/>
        </w:rPr>
        <w:t>th</w:t>
      </w:r>
      <w:r>
        <w:t xml:space="preserve"> to 15</w:t>
      </w:r>
      <w:r w:rsidRPr="00F33FFD">
        <w:rPr>
          <w:vertAlign w:val="superscript"/>
        </w:rPr>
        <w:t>th</w:t>
      </w:r>
      <w:r>
        <w:t xml:space="preserve"> July 2016. Chairman was Mr. Christian Rissone. </w:t>
      </w:r>
      <w:r w:rsidRPr="00F33FFD">
        <w:t>IALA</w:t>
      </w:r>
      <w:r w:rsidR="00185A48">
        <w:t xml:space="preserve"> is an observer in consultative status and was </w:t>
      </w:r>
      <w:r w:rsidRPr="00F33FFD">
        <w:t>represented by Stefan Bober</w:t>
      </w:r>
      <w:r w:rsidR="00185A48">
        <w:t xml:space="preserve"> for the meeting</w:t>
      </w:r>
      <w:r>
        <w:t xml:space="preserve">. </w:t>
      </w:r>
      <w:r w:rsidRPr="00F33FFD">
        <w:t xml:space="preserve"> </w:t>
      </w:r>
    </w:p>
    <w:p w14:paraId="5A4B5ACA" w14:textId="0214CAE5" w:rsidR="00531987" w:rsidRDefault="00531987" w:rsidP="00BA197C">
      <w:r>
        <w:t xml:space="preserve">IALA had a specific interest in </w:t>
      </w:r>
      <w:r w:rsidRPr="00531987">
        <w:t xml:space="preserve">Maritime mobile service including Global Maritime Distress and Safety System (GMDSS) and </w:t>
      </w:r>
      <w:proofErr w:type="spellStart"/>
      <w:r w:rsidRPr="00531987">
        <w:t>radiodetermination</w:t>
      </w:r>
      <w:proofErr w:type="spellEnd"/>
      <w:r w:rsidRPr="00531987">
        <w:t xml:space="preserve"> service</w:t>
      </w:r>
      <w:r>
        <w:t xml:space="preserve">, with particular emphasis on the development </w:t>
      </w:r>
      <w:r w:rsidRPr="00531987">
        <w:t>of VDES, VDE-SAT, AIS and autonomous radio devices operating in the maritime VHF mobile band</w:t>
      </w:r>
      <w:r>
        <w:t>.</w:t>
      </w:r>
    </w:p>
    <w:p w14:paraId="72B85402" w14:textId="383B49EB" w:rsidR="00531987" w:rsidRDefault="00531987" w:rsidP="00BA197C">
      <w:r>
        <w:t>IALA had submitted t</w:t>
      </w:r>
      <w:r w:rsidR="007A6576">
        <w:t xml:space="preserve">wo </w:t>
      </w:r>
      <w:r>
        <w:t>documents to I</w:t>
      </w:r>
      <w:r w:rsidR="007A6576">
        <w:t>MO providing information on the development of VDES as f</w:t>
      </w:r>
      <w:r>
        <w:t>lows:</w:t>
      </w:r>
    </w:p>
    <w:p w14:paraId="5705AEEB" w14:textId="77777777" w:rsidR="00694161" w:rsidRDefault="007A6576" w:rsidP="00694161">
      <w:pPr>
        <w:pStyle w:val="ListParagraph"/>
        <w:numPr>
          <w:ilvl w:val="0"/>
          <w:numId w:val="14"/>
        </w:numPr>
        <w:rPr>
          <w:lang w:val="en-US"/>
        </w:rPr>
      </w:pPr>
      <w:r>
        <w:rPr>
          <w:lang w:val="en-US"/>
        </w:rPr>
        <w:t>MSC 95</w:t>
      </w:r>
      <w:r w:rsidR="00694161">
        <w:rPr>
          <w:lang w:val="en-US"/>
        </w:rPr>
        <w:t>/INF 12 - 1 April 2015 “</w:t>
      </w:r>
      <w:r w:rsidR="00694161" w:rsidRPr="00694161">
        <w:rPr>
          <w:lang w:val="en-US"/>
        </w:rPr>
        <w:t>Development of VHF Data Exchange System (VDES)</w:t>
      </w:r>
      <w:r w:rsidR="00694161">
        <w:rPr>
          <w:lang w:val="en-US"/>
        </w:rPr>
        <w:t>”</w:t>
      </w:r>
      <w:r w:rsidR="00694161" w:rsidRPr="00694161">
        <w:rPr>
          <w:lang w:val="en-US"/>
        </w:rPr>
        <w:t xml:space="preserve"> </w:t>
      </w:r>
    </w:p>
    <w:p w14:paraId="383A0E3B" w14:textId="3B9E6694" w:rsidR="00530BE3" w:rsidRPr="00694161" w:rsidRDefault="00694161" w:rsidP="00694161">
      <w:pPr>
        <w:pStyle w:val="ListParagraph"/>
        <w:numPr>
          <w:ilvl w:val="0"/>
          <w:numId w:val="14"/>
        </w:numPr>
        <w:rPr>
          <w:lang w:val="en-US"/>
        </w:rPr>
      </w:pPr>
      <w:r w:rsidRPr="00694161">
        <w:rPr>
          <w:lang w:val="en-US"/>
        </w:rPr>
        <w:t xml:space="preserve">MSC 96/INF.10 - 8 March 2016 </w:t>
      </w:r>
      <w:r>
        <w:rPr>
          <w:lang w:val="en-US"/>
        </w:rPr>
        <w:t>“</w:t>
      </w:r>
      <w:r w:rsidRPr="00694161">
        <w:rPr>
          <w:lang w:val="en-US"/>
        </w:rPr>
        <w:t>Progress made in the development of the VHF Data Exchange System (VDES)</w:t>
      </w:r>
      <w:r>
        <w:rPr>
          <w:lang w:val="en-US"/>
        </w:rPr>
        <w:t>”</w:t>
      </w:r>
    </w:p>
    <w:p w14:paraId="14320CB1" w14:textId="48FAE36F" w:rsidR="00EF3E71" w:rsidRDefault="00530BE3" w:rsidP="00F25E93">
      <w:pPr>
        <w:pStyle w:val="Heading4"/>
      </w:pPr>
      <w:r>
        <w:t>Introduction</w:t>
      </w:r>
    </w:p>
    <w:p w14:paraId="2B8D4C11" w14:textId="5CF7528B" w:rsidR="00C24A74" w:rsidRDefault="00042708" w:rsidP="00530BE3">
      <w:pPr>
        <w:jc w:val="left"/>
        <w:rPr>
          <w:lang w:val="en-US"/>
        </w:rPr>
      </w:pPr>
      <w:r>
        <w:rPr>
          <w:lang w:val="en-US"/>
        </w:rPr>
        <w:t xml:space="preserve">The </w:t>
      </w:r>
      <w:r w:rsidR="00C24A74">
        <w:rPr>
          <w:lang w:val="en-US"/>
        </w:rPr>
        <w:t>meeting of the Joint IMO/ITU Expert group is</w:t>
      </w:r>
      <w:r>
        <w:rPr>
          <w:lang w:val="en-US"/>
        </w:rPr>
        <w:t xml:space="preserve"> an </w:t>
      </w:r>
      <w:r w:rsidR="00C24A74">
        <w:rPr>
          <w:lang w:val="en-US"/>
        </w:rPr>
        <w:t>annually</w:t>
      </w:r>
      <w:r>
        <w:rPr>
          <w:lang w:val="en-US"/>
        </w:rPr>
        <w:t xml:space="preserve"> meeting held at IMO to </w:t>
      </w:r>
      <w:r w:rsidR="00C24A74">
        <w:rPr>
          <w:lang w:val="en-US"/>
        </w:rPr>
        <w:t xml:space="preserve">exchange information on maritime radiocommunication matters between IMO and ITU. The work of this </w:t>
      </w:r>
      <w:r w:rsidR="00D318A0" w:rsidRPr="00D318A0">
        <w:rPr>
          <w:lang w:val="en-US"/>
        </w:rPr>
        <w:t>Joint IMO/ITU Expert group</w:t>
      </w:r>
      <w:r w:rsidR="00D318A0">
        <w:rPr>
          <w:lang w:val="en-US"/>
        </w:rPr>
        <w:t xml:space="preserve"> (further referred to as the group)</w:t>
      </w:r>
      <w:r w:rsidR="00C24A74">
        <w:rPr>
          <w:lang w:val="en-US"/>
        </w:rPr>
        <w:t xml:space="preserve"> is one of the </w:t>
      </w:r>
      <w:r w:rsidR="004F2EB2">
        <w:rPr>
          <w:lang w:val="en-US"/>
        </w:rPr>
        <w:t>bases</w:t>
      </w:r>
      <w:r w:rsidR="00C24A74">
        <w:rPr>
          <w:lang w:val="en-US"/>
        </w:rPr>
        <w:t xml:space="preserve"> for the development of the IMO position </w:t>
      </w:r>
      <w:r w:rsidR="00C24A74" w:rsidRPr="00C24A74">
        <w:rPr>
          <w:lang w:val="en-US"/>
        </w:rPr>
        <w:t>on maritime radiocommunication matters</w:t>
      </w:r>
      <w:r w:rsidR="00C24A74">
        <w:rPr>
          <w:lang w:val="en-US"/>
        </w:rPr>
        <w:t xml:space="preserve"> at ITU. </w:t>
      </w:r>
    </w:p>
    <w:p w14:paraId="459222D2" w14:textId="591AF3D2" w:rsidR="007723A2" w:rsidRDefault="007723A2" w:rsidP="00AD38DA">
      <w:pPr>
        <w:jc w:val="left"/>
        <w:rPr>
          <w:lang w:val="en-US"/>
        </w:rPr>
      </w:pPr>
      <w:r>
        <w:rPr>
          <w:lang w:val="en-US"/>
        </w:rPr>
        <w:t>The main agenda items of the meeting were:</w:t>
      </w:r>
    </w:p>
    <w:p w14:paraId="4831883C" w14:textId="124EBF2A" w:rsidR="00AD38DA" w:rsidRPr="007723A2" w:rsidRDefault="00AD38DA" w:rsidP="007723A2">
      <w:pPr>
        <w:pStyle w:val="ListParagraph"/>
        <w:numPr>
          <w:ilvl w:val="0"/>
          <w:numId w:val="18"/>
        </w:numPr>
        <w:jc w:val="left"/>
        <w:rPr>
          <w:lang w:val="en-US"/>
        </w:rPr>
      </w:pPr>
      <w:r w:rsidRPr="007723A2">
        <w:rPr>
          <w:lang w:val="en-US"/>
        </w:rPr>
        <w:t>Consideration of the outcome of NCSR 3, MSC 96 and other IMO bodies, as appropriate</w:t>
      </w:r>
    </w:p>
    <w:p w14:paraId="2F4434EC" w14:textId="3C649EFB" w:rsidR="00AD38DA" w:rsidRPr="007723A2" w:rsidRDefault="00AD38DA" w:rsidP="007723A2">
      <w:pPr>
        <w:pStyle w:val="ListParagraph"/>
        <w:numPr>
          <w:ilvl w:val="0"/>
          <w:numId w:val="18"/>
        </w:numPr>
        <w:jc w:val="left"/>
        <w:rPr>
          <w:lang w:val="en-US"/>
        </w:rPr>
      </w:pPr>
      <w:r w:rsidRPr="007723A2">
        <w:rPr>
          <w:lang w:val="en-US"/>
        </w:rPr>
        <w:t>Consideration of the outcome of ITU-R WP 4C, WP 5B and other ITU bodies, as appropriate</w:t>
      </w:r>
    </w:p>
    <w:p w14:paraId="66AF1461" w14:textId="3E5CE9FA" w:rsidR="00AD38DA" w:rsidRPr="007723A2" w:rsidRDefault="00AD38DA" w:rsidP="007723A2">
      <w:pPr>
        <w:pStyle w:val="ListParagraph"/>
        <w:numPr>
          <w:ilvl w:val="0"/>
          <w:numId w:val="18"/>
        </w:numPr>
        <w:jc w:val="left"/>
        <w:rPr>
          <w:lang w:val="en-US"/>
        </w:rPr>
      </w:pPr>
      <w:r w:rsidRPr="007723A2">
        <w:rPr>
          <w:lang w:val="en-US"/>
        </w:rPr>
        <w:t>Review and modernization of the Global Maritime Distress and Safety System (GMDSS)</w:t>
      </w:r>
    </w:p>
    <w:p w14:paraId="6EB6B20E" w14:textId="6D09E0FB" w:rsidR="00C24A74" w:rsidRPr="007723A2" w:rsidRDefault="00AD38DA" w:rsidP="007723A2">
      <w:pPr>
        <w:pStyle w:val="ListParagraph"/>
        <w:numPr>
          <w:ilvl w:val="0"/>
          <w:numId w:val="18"/>
        </w:numPr>
        <w:jc w:val="left"/>
        <w:rPr>
          <w:lang w:val="en-US"/>
        </w:rPr>
      </w:pPr>
      <w:r w:rsidRPr="007723A2">
        <w:rPr>
          <w:lang w:val="en-US"/>
        </w:rPr>
        <w:t>Consideration of the outcome of WRC-15 and preparation of initial advice on a draft IMO position on WRC-19 agenda items concerning matters relating to maritime services</w:t>
      </w:r>
    </w:p>
    <w:p w14:paraId="30AA8558" w14:textId="238985B6" w:rsidR="00FB3CF1" w:rsidRDefault="00FB3CF1" w:rsidP="00FB3CF1">
      <w:pPr>
        <w:pStyle w:val="Heading4"/>
      </w:pPr>
      <w:r>
        <w:t>Related documents</w:t>
      </w:r>
    </w:p>
    <w:p w14:paraId="3F15914E" w14:textId="48A115CF" w:rsidR="007723A2" w:rsidRPr="007723A2" w:rsidRDefault="002A1030" w:rsidP="007723A2">
      <w:r>
        <w:t>IMO/ITU EG 12 WP.1 15 July 2016: Draft report of the twelfth meeting of the joint expert group on maritime radiocommunication matters</w:t>
      </w:r>
    </w:p>
    <w:p w14:paraId="58376877" w14:textId="02491532" w:rsidR="00EF14A9" w:rsidRDefault="00530BE3" w:rsidP="00FB3CF1">
      <w:pPr>
        <w:pStyle w:val="Heading4"/>
      </w:pPr>
      <w:r w:rsidRPr="00FB3CF1">
        <w:t xml:space="preserve">issues related to IALA work addressed during </w:t>
      </w:r>
      <w:r w:rsidR="007723A2">
        <w:t>the Joint IMO/ITU EG meeting</w:t>
      </w:r>
    </w:p>
    <w:p w14:paraId="36C8C334" w14:textId="7402A5B0" w:rsidR="00530BE3" w:rsidRPr="00A11AFE" w:rsidRDefault="00D318A0" w:rsidP="00FB3CF1">
      <w:pPr>
        <w:pStyle w:val="Heading5"/>
        <w:rPr>
          <w:color w:val="00558C"/>
        </w:rPr>
      </w:pPr>
      <w:r w:rsidRPr="00A11AFE">
        <w:rPr>
          <w:color w:val="00558C"/>
        </w:rPr>
        <w:t xml:space="preserve">AIS applications unrelated to World Radiocommunication Conference WRC-19 </w:t>
      </w:r>
    </w:p>
    <w:p w14:paraId="24356066" w14:textId="77777777" w:rsidR="00D318A0" w:rsidRDefault="00D318A0" w:rsidP="00530BE3">
      <w:r>
        <w:t xml:space="preserve">A discussion took place on the use of AIS on unmanned craft and dynamic navigation markers. </w:t>
      </w:r>
    </w:p>
    <w:p w14:paraId="530C8FBA" w14:textId="77777777" w:rsidR="00267D59" w:rsidRDefault="00267D59" w:rsidP="00530BE3"/>
    <w:p w14:paraId="23F2B088" w14:textId="5C8CDCCD" w:rsidR="00267D59" w:rsidRPr="00E8654F" w:rsidRDefault="00267D59" w:rsidP="00530BE3">
      <w:pPr>
        <w:rPr>
          <w:i/>
        </w:rPr>
      </w:pPr>
      <w:r w:rsidRPr="00E8654F">
        <w:rPr>
          <w:i/>
        </w:rPr>
        <w:t>Unmanned crafts</w:t>
      </w:r>
    </w:p>
    <w:p w14:paraId="17267A5C" w14:textId="6025CBE0" w:rsidR="00D318A0" w:rsidRDefault="00D318A0" w:rsidP="00530BE3">
      <w:r>
        <w:t xml:space="preserve">The group noted that </w:t>
      </w:r>
      <w:r w:rsidR="00C4421B">
        <w:t xml:space="preserve">for unmanned crafts </w:t>
      </w:r>
      <w:r w:rsidR="00EC6588">
        <w:t>n</w:t>
      </w:r>
      <w:r>
        <w:t>either ITU-R M.585-7 (</w:t>
      </w:r>
      <w:r w:rsidRPr="00D318A0">
        <w:t>Assignment and use of identities in the maritime mobile service</w:t>
      </w:r>
      <w:r w:rsidR="00C4421B">
        <w:t xml:space="preserve">) </w:t>
      </w:r>
      <w:r w:rsidR="00EC6588">
        <w:t>n</w:t>
      </w:r>
      <w:r>
        <w:t>o</w:t>
      </w:r>
      <w:r w:rsidR="00C4421B">
        <w:t>r</w:t>
      </w:r>
      <w:r>
        <w:t xml:space="preserve"> ITU-R M.1371-5 (AIS) </w:t>
      </w:r>
      <w:r w:rsidR="00EC6588">
        <w:t>do</w:t>
      </w:r>
      <w:r>
        <w:t xml:space="preserve"> address </w:t>
      </w:r>
      <w:r w:rsidR="00C4421B">
        <w:t xml:space="preserve">unmanned crafts and their </w:t>
      </w:r>
      <w:r w:rsidR="00C4421B">
        <w:lastRenderedPageBreak/>
        <w:t xml:space="preserve">special operation. The group noted the matter of </w:t>
      </w:r>
      <w:r w:rsidR="00EC6588" w:rsidRPr="00EC6588">
        <w:t xml:space="preserve">unmanned crafts </w:t>
      </w:r>
      <w:r w:rsidR="00EC6588">
        <w:t xml:space="preserve">and </w:t>
      </w:r>
      <w:r w:rsidR="00C4421B">
        <w:t xml:space="preserve">unmanned maritime systems needs further </w:t>
      </w:r>
      <w:r w:rsidR="00EC6588">
        <w:t xml:space="preserve">consideration and guidance by IMO </w:t>
      </w:r>
      <w:r w:rsidR="00C4421B">
        <w:t xml:space="preserve">and should be placed on the agenda of IMO. </w:t>
      </w:r>
    </w:p>
    <w:p w14:paraId="0A9D7700" w14:textId="1E76CA18" w:rsidR="00267D59" w:rsidRPr="00E8654F" w:rsidRDefault="00267D59" w:rsidP="00530BE3">
      <w:pPr>
        <w:rPr>
          <w:i/>
        </w:rPr>
      </w:pPr>
      <w:r w:rsidRPr="00E8654F">
        <w:rPr>
          <w:i/>
        </w:rPr>
        <w:t>Dynamic navigation markers</w:t>
      </w:r>
    </w:p>
    <w:p w14:paraId="67E6FF09" w14:textId="5433CF86" w:rsidR="00C4421B" w:rsidRDefault="00C4421B" w:rsidP="00530BE3">
      <w:r w:rsidRPr="00C4421B">
        <w:t>The group noted that for</w:t>
      </w:r>
      <w:r>
        <w:t xml:space="preserve"> dynamic navigation markers there is no guidance for the assignment of identification to AIS used to denote dynamic navigation hazard. It was further noted that </w:t>
      </w:r>
      <w:r w:rsidRPr="00C4421B">
        <w:t>dynamic navigation markers</w:t>
      </w:r>
      <w:r w:rsidR="00185A48">
        <w:t xml:space="preserve"> c</w:t>
      </w:r>
      <w:r>
        <w:t xml:space="preserve">ould improve navigation </w:t>
      </w:r>
      <w:r w:rsidR="00185A48">
        <w:t>safety if properly considered and separately distinguished from aids to navigation</w:t>
      </w:r>
      <w:r>
        <w:t xml:space="preserve">. </w:t>
      </w:r>
      <w:r w:rsidR="00185A48">
        <w:t>This matter is closely related to WRC agenda item 1.9.1 (maritime autonomous radio device).</w:t>
      </w:r>
    </w:p>
    <w:p w14:paraId="52D629DD" w14:textId="549AC2DF" w:rsidR="00846875" w:rsidRPr="00846875" w:rsidRDefault="00846875" w:rsidP="00530BE3">
      <w:pPr>
        <w:rPr>
          <w:i/>
          <w:u w:val="single"/>
        </w:rPr>
      </w:pPr>
      <w:r w:rsidRPr="00846875">
        <w:rPr>
          <w:i/>
          <w:u w:val="single"/>
        </w:rPr>
        <w:t>IALA</w:t>
      </w:r>
      <w:r>
        <w:rPr>
          <w:i/>
          <w:u w:val="single"/>
        </w:rPr>
        <w:t xml:space="preserve"> </w:t>
      </w:r>
      <w:r w:rsidR="00E509D6">
        <w:rPr>
          <w:i/>
          <w:u w:val="single"/>
        </w:rPr>
        <w:t>involvement</w:t>
      </w:r>
    </w:p>
    <w:p w14:paraId="63EB97FE" w14:textId="77777777" w:rsidR="00E509D6" w:rsidRDefault="00EC6588" w:rsidP="00530BE3">
      <w:r>
        <w:t xml:space="preserve">IALA may further observe the development of the use of AIS for unmanned maritime systems </w:t>
      </w:r>
      <w:r w:rsidR="00FB5308">
        <w:t>and dynamic navigation markers.</w:t>
      </w:r>
      <w:r w:rsidR="00D6020E">
        <w:t xml:space="preserve"> </w:t>
      </w:r>
    </w:p>
    <w:p w14:paraId="250B4830" w14:textId="671DA59F" w:rsidR="00EC6588" w:rsidRDefault="00D6020E" w:rsidP="00530BE3">
      <w:r>
        <w:t xml:space="preserve">Especially the </w:t>
      </w:r>
      <w:r w:rsidR="00E509D6">
        <w:t>distinction of</w:t>
      </w:r>
      <w:r w:rsidRPr="00D6020E">
        <w:t xml:space="preserve"> </w:t>
      </w:r>
      <w:r w:rsidR="008C77EA">
        <w:t>dynamic navigation markers</w:t>
      </w:r>
      <w:r w:rsidR="008C77EA" w:rsidRPr="00D6020E">
        <w:t xml:space="preserve"> </w:t>
      </w:r>
      <w:r w:rsidRPr="00D6020E">
        <w:t>from aids to navigation</w:t>
      </w:r>
      <w:r w:rsidR="008C77EA">
        <w:t xml:space="preserve"> might be </w:t>
      </w:r>
      <w:r>
        <w:t>of interest</w:t>
      </w:r>
      <w:r w:rsidR="008C77EA">
        <w:t>.</w:t>
      </w:r>
    </w:p>
    <w:p w14:paraId="37F02726" w14:textId="77777777" w:rsidR="00E509D6" w:rsidRDefault="00E509D6" w:rsidP="00530BE3"/>
    <w:p w14:paraId="6AD84B28" w14:textId="6EE4018F" w:rsidR="005C2E44" w:rsidRPr="005C2E44" w:rsidRDefault="00CA526D" w:rsidP="00CA526D">
      <w:pPr>
        <w:pStyle w:val="Heading5"/>
        <w:rPr>
          <w:color w:val="00558C"/>
        </w:rPr>
      </w:pPr>
      <w:r w:rsidRPr="005C2E44">
        <w:rPr>
          <w:color w:val="00558C"/>
        </w:rPr>
        <w:t>Review and modernisation of the Global Maritime Distress and safety system GMDSS.</w:t>
      </w:r>
    </w:p>
    <w:p w14:paraId="151A2926" w14:textId="77777777" w:rsidR="005C2E44" w:rsidRDefault="00CA526D" w:rsidP="00CA526D">
      <w:r>
        <w:t xml:space="preserve">An interim report of the correspondence group on the modernisation of the GMDSS was presented during the meeting. </w:t>
      </w:r>
    </w:p>
    <w:p w14:paraId="0BDB3FA0" w14:textId="4436EFC8" w:rsidR="005C2E44" w:rsidRDefault="00CA526D" w:rsidP="00CA526D">
      <w:r>
        <w:t xml:space="preserve">The group provided comments to the preliminary draft of the modernization plan of the GMDSS. </w:t>
      </w:r>
      <w:r w:rsidR="00E8654F">
        <w:t>In relation to e-navigation and VDES following was discussed:</w:t>
      </w:r>
    </w:p>
    <w:p w14:paraId="4C0AD391" w14:textId="566331C6" w:rsidR="00850BAE" w:rsidRPr="00850BAE" w:rsidRDefault="00850BAE" w:rsidP="00CA526D">
      <w:pPr>
        <w:rPr>
          <w:i/>
        </w:rPr>
      </w:pPr>
      <w:r w:rsidRPr="00850BAE">
        <w:rPr>
          <w:i/>
        </w:rPr>
        <w:t>The relation with e-navigation</w:t>
      </w:r>
    </w:p>
    <w:p w14:paraId="5C0DC4E7" w14:textId="1F9115D3" w:rsidR="005C2E44" w:rsidRDefault="00D6020E" w:rsidP="00CA526D">
      <w:r>
        <w:t xml:space="preserve">The </w:t>
      </w:r>
      <w:r w:rsidR="00CA526D">
        <w:t xml:space="preserve">Group noted the view that it </w:t>
      </w:r>
      <w:r>
        <w:t>is</w:t>
      </w:r>
      <w:r w:rsidR="00CA526D">
        <w:t xml:space="preserve"> important to identify the commonalities between GMDSS and the e-navigation concept. Other views were expressed that some caution should be taken, since it was difficu</w:t>
      </w:r>
      <w:r w:rsidR="00D826E1">
        <w:t>lt to foresee the consequences.</w:t>
      </w:r>
    </w:p>
    <w:p w14:paraId="6A2ACEEC" w14:textId="7BDED9F4" w:rsidR="00CA526D" w:rsidRDefault="00CA526D" w:rsidP="00CA526D">
      <w:r>
        <w:t>In this context, it was noted that MSC 96 had approved a new output for the NCSR Sub-Committee on e-navigation to define and harmonize the format and structure of Maritime Service Portfolios (MSPs) and to provide guidance on the appropriate communication channels used for the electronic exchange of information between shore and ship, including any necessary coordination mechanisms and transitional arrangements that may be required</w:t>
      </w:r>
    </w:p>
    <w:p w14:paraId="36795970" w14:textId="4A61E0B9" w:rsidR="00850BAE" w:rsidRPr="00850BAE" w:rsidRDefault="00850BAE" w:rsidP="00530BE3">
      <w:pPr>
        <w:rPr>
          <w:i/>
        </w:rPr>
      </w:pPr>
      <w:r w:rsidRPr="00850BAE">
        <w:rPr>
          <w:i/>
        </w:rPr>
        <w:t>VHF Data Exchange System (VDES)</w:t>
      </w:r>
    </w:p>
    <w:p w14:paraId="20A9D3AB" w14:textId="3B542A0D" w:rsidR="00E8654F" w:rsidRPr="00111CB8" w:rsidRDefault="00E8654F" w:rsidP="00E8654F">
      <w:pPr>
        <w:rPr>
          <w:b/>
          <w:szCs w:val="24"/>
        </w:rPr>
      </w:pPr>
      <w:r>
        <w:t xml:space="preserve">A discussion of the role of VDES in the GMDSS modernisation plan took place. VDES was identified as a possible component </w:t>
      </w:r>
      <w:r>
        <w:rPr>
          <w:rFonts w:ascii="Times New Roman" w:hAnsi="Times New Roman"/>
        </w:rPr>
        <w:t xml:space="preserve">in the modernisation plan. However some concerns were expressed that is might be premature to take that </w:t>
      </w:r>
      <w:r w:rsidR="00D37196">
        <w:rPr>
          <w:rFonts w:ascii="Times New Roman" w:hAnsi="Times New Roman"/>
        </w:rPr>
        <w:t>decision</w:t>
      </w:r>
      <w:r>
        <w:rPr>
          <w:rFonts w:ascii="Times New Roman" w:hAnsi="Times New Roman"/>
        </w:rPr>
        <w:t xml:space="preserve"> </w:t>
      </w:r>
      <w:r w:rsidR="00D37196">
        <w:rPr>
          <w:rFonts w:ascii="Times New Roman" w:hAnsi="Times New Roman"/>
        </w:rPr>
        <w:t>at this time. Following statement is inserted in the modernisation plan:</w:t>
      </w:r>
    </w:p>
    <w:p w14:paraId="22CFA48B" w14:textId="622D3D7A" w:rsidR="00E8654F" w:rsidRDefault="00846875" w:rsidP="00E8654F">
      <w:r>
        <w:rPr>
          <w:rFonts w:ascii="Times New Roman" w:hAnsi="Times New Roman"/>
          <w:szCs w:val="24"/>
        </w:rPr>
        <w:t>“</w:t>
      </w:r>
      <w:r w:rsidR="00E8654F" w:rsidRPr="008C77EA">
        <w:rPr>
          <w:rFonts w:ascii="Times New Roman" w:hAnsi="Times New Roman"/>
          <w:szCs w:val="24"/>
        </w:rPr>
        <w:t>The use of VDES needs to be considered in future possible</w:t>
      </w:r>
      <w:r w:rsidR="00E8654F" w:rsidRPr="00111CB8">
        <w:rPr>
          <w:szCs w:val="24"/>
        </w:rPr>
        <w:t xml:space="preserve"> utility</w:t>
      </w:r>
      <w:r w:rsidR="00E8654F" w:rsidRPr="008C77EA">
        <w:rPr>
          <w:rFonts w:ascii="Times New Roman" w:hAnsi="Times New Roman"/>
          <w:szCs w:val="24"/>
        </w:rPr>
        <w:t xml:space="preserve"> for the distribution of MSI</w:t>
      </w:r>
      <w:r w:rsidR="00E8654F" w:rsidRPr="00111CB8">
        <w:rPr>
          <w:szCs w:val="24"/>
        </w:rPr>
        <w:t xml:space="preserve"> and SAR information</w:t>
      </w:r>
      <w:r w:rsidR="00E8654F" w:rsidRPr="008C77EA">
        <w:rPr>
          <w:rFonts w:ascii="Times New Roman" w:hAnsi="Times New Roman"/>
          <w:szCs w:val="24"/>
        </w:rPr>
        <w:t>.</w:t>
      </w:r>
      <w:r>
        <w:rPr>
          <w:rFonts w:ascii="Times New Roman" w:hAnsi="Times New Roman"/>
          <w:szCs w:val="24"/>
        </w:rPr>
        <w:t>”</w:t>
      </w:r>
    </w:p>
    <w:p w14:paraId="496E1939" w14:textId="77777777" w:rsidR="00E509D6" w:rsidRPr="00846875" w:rsidRDefault="00E509D6" w:rsidP="00E509D6">
      <w:pPr>
        <w:rPr>
          <w:i/>
          <w:u w:val="single"/>
        </w:rPr>
      </w:pPr>
      <w:r w:rsidRPr="00846875">
        <w:rPr>
          <w:i/>
          <w:u w:val="single"/>
        </w:rPr>
        <w:t>IALA</w:t>
      </w:r>
      <w:r>
        <w:rPr>
          <w:i/>
          <w:u w:val="single"/>
        </w:rPr>
        <w:t xml:space="preserve"> involvement</w:t>
      </w:r>
    </w:p>
    <w:p w14:paraId="379107E4" w14:textId="0AAE778E" w:rsidR="00D6020E" w:rsidRDefault="00D6020E" w:rsidP="00D6020E">
      <w:r>
        <w:t xml:space="preserve">IALA may further observe the development of the </w:t>
      </w:r>
      <w:r w:rsidR="008C77EA" w:rsidRPr="008C77EA">
        <w:t>modernisation of the Global Maritime Distress and safety system GMDSS</w:t>
      </w:r>
    </w:p>
    <w:p w14:paraId="12E82CE9" w14:textId="77777777" w:rsidR="00E8654F" w:rsidRDefault="00E8654F" w:rsidP="00530BE3"/>
    <w:p w14:paraId="5C26B96F" w14:textId="60BD9C90" w:rsidR="00530BE3" w:rsidRPr="00FB3CF1" w:rsidRDefault="006156EC" w:rsidP="006156EC">
      <w:pPr>
        <w:pStyle w:val="Heading5"/>
        <w:rPr>
          <w:color w:val="00558C"/>
        </w:rPr>
      </w:pPr>
      <w:r w:rsidRPr="006156EC">
        <w:rPr>
          <w:color w:val="00558C"/>
        </w:rPr>
        <w:t>CONSIDERATION OF THE OUTCOME OF WRC-15 AND PREPARATION OF INITIAL ADVICE ON A DRAFT IMO POSITION ON WRC-19 AGENDA ITEMS CONCERNING MATTERS RELATING TO MARITIME SERVICES</w:t>
      </w:r>
    </w:p>
    <w:p w14:paraId="1916E8E4" w14:textId="54AEEB8A" w:rsidR="006156EC" w:rsidRDefault="006156EC" w:rsidP="008D1783">
      <w:r w:rsidRPr="006156EC">
        <w:lastRenderedPageBreak/>
        <w:t>The Group developed the draft IMO position on WRC-19 Agenda items concerning matter</w:t>
      </w:r>
      <w:r>
        <w:t>s relating to maritime services. Following WRC 19 agenda items with relevance to the IALA work were discussed:</w:t>
      </w:r>
    </w:p>
    <w:p w14:paraId="01E2D95C" w14:textId="557EC801" w:rsidR="008D1783" w:rsidRPr="00FB3CF1" w:rsidRDefault="000F1B7F" w:rsidP="008C77EA">
      <w:pPr>
        <w:pStyle w:val="Heading5"/>
        <w:numPr>
          <w:ilvl w:val="2"/>
          <w:numId w:val="2"/>
        </w:numPr>
        <w:rPr>
          <w:color w:val="00558C"/>
        </w:rPr>
      </w:pPr>
      <w:r>
        <w:rPr>
          <w:color w:val="00558C"/>
        </w:rPr>
        <w:t>A</w:t>
      </w:r>
      <w:r w:rsidR="00FF01AE">
        <w:rPr>
          <w:color w:val="00558C"/>
        </w:rPr>
        <w:t xml:space="preserve">utonomous </w:t>
      </w:r>
      <w:r>
        <w:rPr>
          <w:color w:val="00558C"/>
        </w:rPr>
        <w:t>Maritime Radio D</w:t>
      </w:r>
      <w:r w:rsidR="00FF01AE">
        <w:rPr>
          <w:color w:val="00558C"/>
        </w:rPr>
        <w:t>evice</w:t>
      </w:r>
      <w:r w:rsidR="00FD3EA0">
        <w:rPr>
          <w:color w:val="00558C"/>
        </w:rPr>
        <w:t>;</w:t>
      </w:r>
      <w:r w:rsidR="00FF01AE">
        <w:rPr>
          <w:color w:val="00558C"/>
        </w:rPr>
        <w:t xml:space="preserve"> WRC 19 agenda item 1.9.1</w:t>
      </w:r>
    </w:p>
    <w:p w14:paraId="77DD0591" w14:textId="61BC9D4F" w:rsidR="00FD3EA0" w:rsidRDefault="00FD3EA0" w:rsidP="00A71C4E">
      <w:r w:rsidRPr="00FD3EA0">
        <w:t>The group n</w:t>
      </w:r>
      <w:r w:rsidR="000F1B7F">
        <w:t>oted the work at ITU regarding the issue A</w:t>
      </w:r>
      <w:r w:rsidRPr="00FD3EA0">
        <w:t xml:space="preserve">utonomous </w:t>
      </w:r>
      <w:r w:rsidR="000F1B7F">
        <w:t>Maritime Radio D</w:t>
      </w:r>
      <w:r w:rsidRPr="00FD3EA0">
        <w:t>evice</w:t>
      </w:r>
      <w:r w:rsidR="000F1B7F">
        <w:t xml:space="preserve"> (AMRD)</w:t>
      </w:r>
      <w:r w:rsidRPr="00FD3EA0">
        <w:t xml:space="preserve">. </w:t>
      </w:r>
    </w:p>
    <w:p w14:paraId="338AB898" w14:textId="1F642347" w:rsidR="00DA2542" w:rsidRDefault="00FD3EA0" w:rsidP="00DA2542">
      <w:r>
        <w:t>T</w:t>
      </w:r>
      <w:r w:rsidR="000F1B7F">
        <w:t>he Group considered a</w:t>
      </w:r>
      <w:r w:rsidRPr="00FD3EA0">
        <w:t xml:space="preserve"> liaison </w:t>
      </w:r>
      <w:r w:rsidR="000F1B7F">
        <w:t xml:space="preserve">note </w:t>
      </w:r>
      <w:r w:rsidRPr="00FD3EA0">
        <w:t xml:space="preserve">from </w:t>
      </w:r>
      <w:r w:rsidR="00DA2542">
        <w:t xml:space="preserve">ITU-R </w:t>
      </w:r>
      <w:r w:rsidRPr="00FD3EA0">
        <w:t>WP 5B</w:t>
      </w:r>
      <w:r w:rsidR="00DA2542">
        <w:t xml:space="preserve"> </w:t>
      </w:r>
      <w:r w:rsidR="00DA2542" w:rsidRPr="00F23EAA">
        <w:t>to IMO and IALA</w:t>
      </w:r>
      <w:r w:rsidRPr="00FD3EA0">
        <w:t xml:space="preserve"> </w:t>
      </w:r>
      <w:r w:rsidR="00DA2542">
        <w:t>inviting ITU and IALA to:</w:t>
      </w:r>
    </w:p>
    <w:p w14:paraId="6BD85F48" w14:textId="7DE35324" w:rsidR="00DA2542" w:rsidRDefault="00DA2542" w:rsidP="00DA2542">
      <w:pPr>
        <w:pStyle w:val="ListParagraph"/>
        <w:numPr>
          <w:ilvl w:val="0"/>
          <w:numId w:val="19"/>
        </w:numPr>
      </w:pPr>
      <w:r>
        <w:t>consider to this topic related issues, particularly on the need to categorize the various autonomous maritime radio devices; and</w:t>
      </w:r>
    </w:p>
    <w:p w14:paraId="42BE6243" w14:textId="183DE916" w:rsidR="00DA2542" w:rsidRDefault="00DA2542" w:rsidP="00DA2542">
      <w:pPr>
        <w:pStyle w:val="ListParagraph"/>
        <w:numPr>
          <w:ilvl w:val="0"/>
          <w:numId w:val="19"/>
        </w:numPr>
      </w:pPr>
      <w:proofErr w:type="gramStart"/>
      <w:r>
        <w:t>note</w:t>
      </w:r>
      <w:proofErr w:type="gramEnd"/>
      <w:r>
        <w:t xml:space="preserve"> that WP 5B was working towards a formal definition for the term AMRD.</w:t>
      </w:r>
    </w:p>
    <w:p w14:paraId="2AF4AC12" w14:textId="77777777" w:rsidR="00DA2542" w:rsidRDefault="00DA2542" w:rsidP="00DA2542">
      <w:pPr>
        <w:rPr>
          <w:szCs w:val="24"/>
          <w:lang w:eastAsia="en-GB"/>
        </w:rPr>
      </w:pPr>
      <w:r w:rsidRPr="00F23EAA">
        <w:rPr>
          <w:lang w:eastAsia="en-GB"/>
        </w:rPr>
        <w:t xml:space="preserve">The view was expressed that it was important to look at the operational environment and approach the matter from that perspective and to distinct what would be of importance for the safety of navigation, and what would not. For instance by answering the question which devices should be shown on an ECDIS, and which one should not, it might be possible to identify several categories and consequential a better way to decide on the appropriate </w:t>
      </w:r>
      <w:r w:rsidRPr="0031013B">
        <w:rPr>
          <w:szCs w:val="24"/>
          <w:lang w:eastAsia="en-GB"/>
        </w:rPr>
        <w:t xml:space="preserve">definition. </w:t>
      </w:r>
    </w:p>
    <w:p w14:paraId="7F6A158C" w14:textId="0779FC2B" w:rsidR="004E1E51" w:rsidRDefault="004E1E51" w:rsidP="00DA2542">
      <w:r>
        <w:t>The Group suggested the following definition of AMRDs:</w:t>
      </w:r>
    </w:p>
    <w:p w14:paraId="7C06E584" w14:textId="17B80A70" w:rsidR="00DA2542" w:rsidRPr="004A7877" w:rsidRDefault="00DA2542" w:rsidP="00DA2542">
      <w:pPr>
        <w:ind w:left="426"/>
        <w:rPr>
          <w:i/>
        </w:rPr>
      </w:pPr>
      <w:r w:rsidRPr="004A7877">
        <w:rPr>
          <w:i/>
        </w:rPr>
        <w:t xml:space="preserve">"An autonomous maritime radio device (AMRD) is a mobile station; operating at sea and transmitting independently of a ship station or a coast station.     </w:t>
      </w:r>
    </w:p>
    <w:p w14:paraId="2593D763" w14:textId="4B0A37CF" w:rsidR="00DA2542" w:rsidRPr="004A7877" w:rsidRDefault="00DA2542" w:rsidP="00DA2542">
      <w:pPr>
        <w:ind w:left="426"/>
        <w:rPr>
          <w:i/>
        </w:rPr>
      </w:pPr>
      <w:r w:rsidRPr="004A7877">
        <w:rPr>
          <w:i/>
        </w:rPr>
        <w:t>Two groups of AMRDs are identified:</w:t>
      </w:r>
    </w:p>
    <w:p w14:paraId="6AE20B8B" w14:textId="27CF48EA" w:rsidR="00846875" w:rsidRPr="004A7877" w:rsidRDefault="00DA2542" w:rsidP="00846875">
      <w:pPr>
        <w:pStyle w:val="ListParagraph"/>
        <w:numPr>
          <w:ilvl w:val="0"/>
          <w:numId w:val="23"/>
        </w:numPr>
        <w:ind w:left="714" w:hanging="357"/>
        <w:rPr>
          <w:i/>
        </w:rPr>
      </w:pPr>
      <w:r w:rsidRPr="004A7877">
        <w:rPr>
          <w:i/>
        </w:rPr>
        <w:t>AMRDs that influence the safety of navigation; and</w:t>
      </w:r>
    </w:p>
    <w:p w14:paraId="3B8458E6" w14:textId="71DFD19F" w:rsidR="00DA2542" w:rsidRPr="004A7877" w:rsidRDefault="00846875" w:rsidP="00846875">
      <w:pPr>
        <w:pStyle w:val="ListParagraph"/>
        <w:numPr>
          <w:ilvl w:val="0"/>
          <w:numId w:val="23"/>
        </w:numPr>
        <w:ind w:left="714" w:hanging="357"/>
        <w:rPr>
          <w:i/>
        </w:rPr>
      </w:pPr>
      <w:r w:rsidRPr="004A7877">
        <w:rPr>
          <w:i/>
        </w:rPr>
        <w:t>A</w:t>
      </w:r>
      <w:r w:rsidR="00DA2542" w:rsidRPr="004A7877">
        <w:rPr>
          <w:i/>
        </w:rPr>
        <w:t>MRDs that do not influence the safety of navigation."</w:t>
      </w:r>
    </w:p>
    <w:p w14:paraId="3588B9C7" w14:textId="7FCF606A" w:rsidR="00846875" w:rsidRDefault="00846875" w:rsidP="00846875">
      <w:r>
        <w:t>The group decided t</w:t>
      </w:r>
      <w:r w:rsidRPr="00846875">
        <w:t>o monitor the progress of the ongoing studies dealing with the establishment of the preliminary draft new report ITU-R M</w:t>
      </w:r>
      <w:proofErr w:type="gramStart"/>
      <w:r w:rsidRPr="00846875">
        <w:t>.[</w:t>
      </w:r>
      <w:proofErr w:type="gramEnd"/>
      <w:r w:rsidRPr="00846875">
        <w:t>AMRD].</w:t>
      </w:r>
    </w:p>
    <w:p w14:paraId="7B6D6B29" w14:textId="77777777" w:rsidR="00846875" w:rsidRPr="004A7877" w:rsidRDefault="00846875" w:rsidP="00846875">
      <w:pPr>
        <w:rPr>
          <w:i/>
        </w:rPr>
      </w:pPr>
      <w:r w:rsidRPr="004A7877">
        <w:rPr>
          <w:i/>
        </w:rPr>
        <w:t>Preliminary draft IMO position</w:t>
      </w:r>
    </w:p>
    <w:p w14:paraId="4B040BF0" w14:textId="7DF457F0" w:rsidR="00846875" w:rsidRPr="004A7877" w:rsidRDefault="00846875" w:rsidP="00846875">
      <w:pPr>
        <w:pStyle w:val="ListParagraph"/>
        <w:numPr>
          <w:ilvl w:val="0"/>
          <w:numId w:val="22"/>
        </w:numPr>
        <w:rPr>
          <w:i/>
        </w:rPr>
      </w:pPr>
      <w:r w:rsidRPr="004A7877">
        <w:rPr>
          <w:i/>
        </w:rPr>
        <w:t>The integrity of AIS and the Global Maritime Distress and Safety System (GMDSS) should be protected;</w:t>
      </w:r>
    </w:p>
    <w:p w14:paraId="5531EAA6" w14:textId="05D0EB76" w:rsidR="00846875" w:rsidRPr="004A7877" w:rsidRDefault="00846875" w:rsidP="00846875">
      <w:pPr>
        <w:pStyle w:val="ListParagraph"/>
        <w:numPr>
          <w:ilvl w:val="0"/>
          <w:numId w:val="22"/>
        </w:numPr>
        <w:rPr>
          <w:i/>
        </w:rPr>
      </w:pPr>
      <w:r w:rsidRPr="004A7877">
        <w:rPr>
          <w:i/>
        </w:rPr>
        <w:t xml:space="preserve">autonomous maritime radio devices which are related to the safety of navigation should be regulated for the use of frequencies and identities of the maritime mobile service; and </w:t>
      </w:r>
    </w:p>
    <w:p w14:paraId="67EACB5E" w14:textId="67290280" w:rsidR="00846875" w:rsidRDefault="00846875" w:rsidP="00846875">
      <w:pPr>
        <w:pStyle w:val="ListParagraph"/>
        <w:numPr>
          <w:ilvl w:val="0"/>
          <w:numId w:val="22"/>
        </w:numPr>
      </w:pPr>
      <w:r w:rsidRPr="004A7877">
        <w:rPr>
          <w:i/>
        </w:rPr>
        <w:t>for autonomous maritime radio devices which are not related to the safety of navigation, regulation of the use of frequencies, and technical and operational characteristics, should benefit both the user of devices as well maritime safety. An additional spectrum allocation within the frequency band 156-162.05 MHz and a new numbering scheme which is different from those in the existing maritime mobile service should be considered.</w:t>
      </w:r>
    </w:p>
    <w:p w14:paraId="1FCA88D5" w14:textId="77777777" w:rsidR="00E509D6" w:rsidRPr="00846875" w:rsidRDefault="00E509D6" w:rsidP="00E509D6">
      <w:pPr>
        <w:rPr>
          <w:i/>
          <w:u w:val="single"/>
        </w:rPr>
      </w:pPr>
      <w:r w:rsidRPr="00846875">
        <w:rPr>
          <w:i/>
          <w:u w:val="single"/>
        </w:rPr>
        <w:t>IALA</w:t>
      </w:r>
      <w:r>
        <w:rPr>
          <w:i/>
          <w:u w:val="single"/>
        </w:rPr>
        <w:t xml:space="preserve"> involvement</w:t>
      </w:r>
    </w:p>
    <w:p w14:paraId="34AA9F02" w14:textId="082BEE43" w:rsidR="00846875" w:rsidRDefault="00846875" w:rsidP="00846875">
      <w:r>
        <w:t xml:space="preserve">IALA may further observe the </w:t>
      </w:r>
      <w:r w:rsidR="00D6020E">
        <w:t>work at ITU WP5B and IM</w:t>
      </w:r>
      <w:r w:rsidR="00E509D6">
        <w:t>O regarding the definition of A</w:t>
      </w:r>
      <w:r w:rsidR="00D6020E">
        <w:t>M</w:t>
      </w:r>
      <w:r w:rsidR="00E509D6">
        <w:t>R</w:t>
      </w:r>
      <w:r w:rsidR="00D6020E">
        <w:t xml:space="preserve">D and also may consider this </w:t>
      </w:r>
      <w:r>
        <w:t xml:space="preserve">development </w:t>
      </w:r>
      <w:r w:rsidR="00D6020E">
        <w:t xml:space="preserve">during the drafting of the “IALA Guidelines on </w:t>
      </w:r>
      <w:r w:rsidR="00D6020E" w:rsidRPr="00D6020E">
        <w:t>The Marking and Use of Mobile Aids to Navigation</w:t>
      </w:r>
      <w:r w:rsidR="00D6020E">
        <w:t xml:space="preserve">”. A harmonised approach of IMO, ITU and IALA on the t issue might be beneficial.  </w:t>
      </w:r>
    </w:p>
    <w:p w14:paraId="4A0541FA" w14:textId="77777777" w:rsidR="00D6020E" w:rsidRDefault="00D6020E" w:rsidP="00846875"/>
    <w:p w14:paraId="1B65DDFF" w14:textId="696C393F" w:rsidR="00A71C4E" w:rsidRPr="008C77EA" w:rsidRDefault="00FD3EA0" w:rsidP="008C77EA">
      <w:pPr>
        <w:pStyle w:val="Heading5"/>
        <w:numPr>
          <w:ilvl w:val="2"/>
          <w:numId w:val="2"/>
        </w:numPr>
        <w:rPr>
          <w:color w:val="00558C"/>
        </w:rPr>
      </w:pPr>
      <w:r w:rsidRPr="008C77EA">
        <w:rPr>
          <w:color w:val="00558C"/>
        </w:rPr>
        <w:t xml:space="preserve">Satellite component of the VDES ; </w:t>
      </w:r>
      <w:r w:rsidR="00384A5F" w:rsidRPr="008C77EA">
        <w:rPr>
          <w:color w:val="00558C"/>
        </w:rPr>
        <w:t>WRC 19 agenda item 1.9.2</w:t>
      </w:r>
    </w:p>
    <w:p w14:paraId="5C309EF6" w14:textId="72EEA4C8" w:rsidR="006B5872" w:rsidRDefault="006B5872" w:rsidP="006B5872">
      <w:r>
        <w:t>The concept of VDES includes the function of AIS, ASM, VDE terrestrial component and VDE satellite component. Insufficient study on sharing and compatibility between the VDE satellite component and incumbent services in the same and adjacent frequency bands was the cause that the spectrum issue could not be resolved at WRC-15. As a consequence, VDES is still not a complete functional system as a whole</w:t>
      </w:r>
    </w:p>
    <w:p w14:paraId="504F2320" w14:textId="31D9B9C1" w:rsidR="006B5872" w:rsidRDefault="004A7877" w:rsidP="00FB3CF1">
      <w:r w:rsidRPr="004A7877">
        <w:lastRenderedPageBreak/>
        <w:t>ITU</w:t>
      </w:r>
      <w:r>
        <w:t xml:space="preserve"> WP5B </w:t>
      </w:r>
      <w:r w:rsidRPr="004A7877">
        <w:t>conduct</w:t>
      </w:r>
      <w:r>
        <w:t>ed further</w:t>
      </w:r>
      <w:r w:rsidRPr="004A7877">
        <w:t xml:space="preserve"> studies </w:t>
      </w:r>
      <w:r w:rsidRPr="00AE257C">
        <w:rPr>
          <w:szCs w:val="24"/>
        </w:rPr>
        <w:t>to enable a new VHF data exchange system (VDES) satellite component, while ensuring that this component will not degrade the current terrestrial VDES components, applications specific messages (ASM) and AIS operations and not impose any additional constraints on existing services in these and adjacent frequency bands</w:t>
      </w:r>
      <w:r>
        <w:rPr>
          <w:szCs w:val="24"/>
        </w:rPr>
        <w:t>.</w:t>
      </w:r>
    </w:p>
    <w:p w14:paraId="5005C3FD" w14:textId="77777777" w:rsidR="004A7877" w:rsidRPr="004A7877" w:rsidRDefault="004A7877" w:rsidP="004A7877">
      <w:pPr>
        <w:rPr>
          <w:i/>
        </w:rPr>
      </w:pPr>
      <w:r w:rsidRPr="004A7877">
        <w:rPr>
          <w:i/>
        </w:rPr>
        <w:t>Preliminary draft IMO position</w:t>
      </w:r>
    </w:p>
    <w:p w14:paraId="1890A359" w14:textId="77777777" w:rsidR="004A7877" w:rsidRPr="004A7877" w:rsidRDefault="004A7877" w:rsidP="004A7877">
      <w:pPr>
        <w:rPr>
          <w:i/>
        </w:rPr>
      </w:pPr>
      <w:r w:rsidRPr="004A7877">
        <w:rPr>
          <w:i/>
        </w:rPr>
        <w:t>1.</w:t>
      </w:r>
      <w:r w:rsidRPr="004A7877">
        <w:rPr>
          <w:i/>
        </w:rPr>
        <w:tab/>
        <w:t>Recognizing that the VDES satellite component should not bring any harmful interference:</w:t>
      </w:r>
    </w:p>
    <w:p w14:paraId="7F84FAE0" w14:textId="741AB8B7" w:rsidR="004A7877" w:rsidRPr="004A7877" w:rsidRDefault="004A7877" w:rsidP="004A7877">
      <w:pPr>
        <w:pStyle w:val="ListParagraph"/>
        <w:numPr>
          <w:ilvl w:val="0"/>
          <w:numId w:val="25"/>
        </w:numPr>
        <w:rPr>
          <w:i/>
        </w:rPr>
      </w:pPr>
      <w:r w:rsidRPr="004A7877">
        <w:rPr>
          <w:i/>
        </w:rPr>
        <w:t xml:space="preserve">modifications should not be required to existing AIS equipment on board existing vessels; and </w:t>
      </w:r>
    </w:p>
    <w:p w14:paraId="3865614E" w14:textId="2E39E172" w:rsidR="004A7877" w:rsidRPr="004A7877" w:rsidRDefault="004A7877" w:rsidP="004A7877">
      <w:pPr>
        <w:pStyle w:val="ListParagraph"/>
        <w:numPr>
          <w:ilvl w:val="0"/>
          <w:numId w:val="25"/>
        </w:numPr>
        <w:rPr>
          <w:i/>
        </w:rPr>
      </w:pPr>
      <w:proofErr w:type="gramStart"/>
      <w:r w:rsidRPr="004A7877">
        <w:rPr>
          <w:i/>
        </w:rPr>
        <w:t>an</w:t>
      </w:r>
      <w:proofErr w:type="gramEnd"/>
      <w:r w:rsidRPr="004A7877">
        <w:rPr>
          <w:i/>
        </w:rPr>
        <w:t xml:space="preserve"> identification of the frequncies for the VDES satellite component should protect the integrity of the original operational purpose of AIS on the existing AIS frequencies. </w:t>
      </w:r>
    </w:p>
    <w:p w14:paraId="141D98A3" w14:textId="77777777" w:rsidR="004A7877" w:rsidRPr="004A7877" w:rsidRDefault="004A7877" w:rsidP="004A7877">
      <w:pPr>
        <w:rPr>
          <w:i/>
        </w:rPr>
      </w:pPr>
      <w:r w:rsidRPr="004A7877">
        <w:rPr>
          <w:i/>
        </w:rPr>
        <w:t>2.</w:t>
      </w:r>
      <w:r w:rsidRPr="004A7877">
        <w:rPr>
          <w:i/>
        </w:rPr>
        <w:tab/>
        <w:t xml:space="preserve">IMO supports the VDES concept, without committing the Organization regarding future requirements on the use of the VHF frequency band. </w:t>
      </w:r>
    </w:p>
    <w:p w14:paraId="2CAB4B1E" w14:textId="77777777" w:rsidR="004A7877" w:rsidRPr="004A7877" w:rsidRDefault="004A7877" w:rsidP="00FB3CF1">
      <w:pPr>
        <w:rPr>
          <w:lang w:val="en-US"/>
        </w:rPr>
      </w:pPr>
    </w:p>
    <w:p w14:paraId="131AB97E" w14:textId="77777777" w:rsidR="00E509D6" w:rsidRPr="00846875" w:rsidRDefault="00E509D6" w:rsidP="00E509D6">
      <w:pPr>
        <w:rPr>
          <w:i/>
          <w:u w:val="single"/>
        </w:rPr>
      </w:pPr>
      <w:r w:rsidRPr="00846875">
        <w:rPr>
          <w:i/>
          <w:u w:val="single"/>
        </w:rPr>
        <w:t>IALA</w:t>
      </w:r>
      <w:r>
        <w:rPr>
          <w:i/>
          <w:u w:val="single"/>
        </w:rPr>
        <w:t xml:space="preserve"> involvement</w:t>
      </w:r>
    </w:p>
    <w:p w14:paraId="070361B6" w14:textId="762DBCC4" w:rsidR="006B5872" w:rsidRDefault="00E509D6" w:rsidP="00FB3CF1">
      <w:r>
        <w:t>IALA is a leading contributor in the development of VDES and is closely related to ITU, IMO and other international bodies for the standardisation of VDES</w:t>
      </w:r>
    </w:p>
    <w:p w14:paraId="2BA542D6" w14:textId="127E06EB" w:rsidR="00434AD4" w:rsidRPr="002C699E" w:rsidRDefault="00E509D6" w:rsidP="00A57E85">
      <w:pPr>
        <w:pStyle w:val="Heading4"/>
      </w:pPr>
      <w:r>
        <w:t>IALA</w:t>
      </w:r>
      <w:r w:rsidR="00434AD4">
        <w:t xml:space="preserve"> IS REQUESTED TO</w:t>
      </w:r>
    </w:p>
    <w:p w14:paraId="214C4D1E" w14:textId="30DFE03E" w:rsidR="00E509D6" w:rsidRPr="00FB3CF1" w:rsidRDefault="00FB3CF1" w:rsidP="00E509D6">
      <w:pPr>
        <w:spacing w:after="120"/>
      </w:pPr>
      <w:r>
        <w:rPr>
          <w:b/>
        </w:rPr>
        <w:t>Note</w:t>
      </w:r>
      <w:r w:rsidR="004C7606">
        <w:rPr>
          <w:b/>
        </w:rPr>
        <w:t xml:space="preserve"> </w:t>
      </w:r>
      <w:r w:rsidRPr="00FB3CF1">
        <w:t xml:space="preserve">the report </w:t>
      </w:r>
      <w:r w:rsidR="00E509D6">
        <w:t>of 12</w:t>
      </w:r>
      <w:r w:rsidR="00E509D6" w:rsidRPr="00F33FFD">
        <w:rPr>
          <w:vertAlign w:val="superscript"/>
        </w:rPr>
        <w:t>th</w:t>
      </w:r>
      <w:r w:rsidR="00E509D6">
        <w:t xml:space="preserve"> Joint IMO/ITU EG meeting</w:t>
      </w:r>
      <w:r w:rsidRPr="00FB3CF1">
        <w:t xml:space="preserve"> </w:t>
      </w:r>
    </w:p>
    <w:p w14:paraId="13EBB8A5" w14:textId="07DC16FA" w:rsidR="00FB3CF1" w:rsidRPr="00FB3CF1" w:rsidRDefault="00FB3CF1" w:rsidP="00EE1F85">
      <w:pPr>
        <w:spacing w:after="240"/>
      </w:pPr>
    </w:p>
    <w:sectPr w:rsidR="00FB3CF1" w:rsidRPr="00FB3CF1" w:rsidSect="009052F0">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A6B6F" w14:textId="77777777" w:rsidR="00193002" w:rsidRDefault="00193002" w:rsidP="00F25E93">
      <w:r>
        <w:separator/>
      </w:r>
    </w:p>
  </w:endnote>
  <w:endnote w:type="continuationSeparator" w:id="0">
    <w:p w14:paraId="14B49390" w14:textId="77777777" w:rsidR="00193002" w:rsidRDefault="00193002" w:rsidP="00F2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4D70C" w14:textId="77777777" w:rsidR="00DA2EEA" w:rsidRDefault="00DA2E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1F79C" w14:textId="77777777" w:rsidR="00DA2EEA" w:rsidRDefault="00DA2E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BDCE" w14:textId="77777777" w:rsidR="00DA2EEA" w:rsidRDefault="00DA2E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6CCF6" w14:textId="77777777" w:rsidR="00193002" w:rsidRDefault="00193002" w:rsidP="00F25E93">
      <w:r>
        <w:separator/>
      </w:r>
    </w:p>
  </w:footnote>
  <w:footnote w:type="continuationSeparator" w:id="0">
    <w:p w14:paraId="177D11EE" w14:textId="77777777" w:rsidR="00193002" w:rsidRDefault="00193002" w:rsidP="00F25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3C0DE" w14:textId="2442AF57" w:rsidR="00DA2EEA" w:rsidRDefault="00DA2EEA" w:rsidP="00DA2EEA">
    <w:pPr>
      <w:pStyle w:val="Header"/>
      <w:spacing w:beforeLines="0" w:before="0"/>
      <w:jc w:val="left"/>
    </w:pPr>
    <w:r>
      <w:rPr>
        <w:noProof/>
        <w:lang w:val="en-IE" w:eastAsia="en-IE"/>
      </w:rPr>
      <w:drawing>
        <wp:anchor distT="0" distB="0" distL="114300" distR="114300" simplePos="0" relativeHeight="251661312" behindDoc="0" locked="0" layoutInCell="1" allowOverlap="1" wp14:anchorId="2D4D69B5" wp14:editId="76E4C63A">
          <wp:simplePos x="0" y="0"/>
          <wp:positionH relativeFrom="column">
            <wp:posOffset>6039485</wp:posOffset>
          </wp:positionH>
          <wp:positionV relativeFrom="paragraph">
            <wp:posOffset>-226695</wp:posOffset>
          </wp:positionV>
          <wp:extent cx="557530" cy="557530"/>
          <wp:effectExtent l="0" t="0" r="0" b="0"/>
          <wp:wrapSquare wrapText="bothSides"/>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530" cy="557530"/>
                  </a:xfrm>
                  <a:prstGeom prst="rect">
                    <a:avLst/>
                  </a:prstGeom>
                </pic:spPr>
              </pic:pic>
            </a:graphicData>
          </a:graphic>
        </wp:anchor>
      </w:drawing>
    </w:r>
    <w:r w:rsidRPr="00DA2EEA">
      <w:t xml:space="preserve"> </w:t>
    </w:r>
    <w:r>
      <w:t>Report of 12</w:t>
    </w:r>
    <w:r w:rsidRPr="00DA2EEA">
      <w:rPr>
        <w:vertAlign w:val="superscript"/>
      </w:rPr>
      <w:t>th</w:t>
    </w:r>
    <w:r>
      <w:t xml:space="preserve"> Joint IMO/ITU EG meeting </w:t>
    </w:r>
    <w:r>
      <w:tab/>
    </w:r>
    <w:r>
      <w:tab/>
      <w:t>30.08.2016</w:t>
    </w:r>
  </w:p>
  <w:p w14:paraId="0E33D111" w14:textId="77777777" w:rsidR="006C1864" w:rsidRDefault="006C1864" w:rsidP="006C1864">
    <w:pPr>
      <w:pStyle w:val="Header"/>
      <w:spacing w:beforeLines="0"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278BD" w14:textId="1E131172" w:rsidR="006C1864" w:rsidRDefault="00DA2EEA" w:rsidP="00DA2EEA">
    <w:pPr>
      <w:pStyle w:val="Header"/>
      <w:spacing w:beforeLines="0" w:before="0"/>
      <w:jc w:val="right"/>
    </w:pPr>
    <w:r>
      <w:rPr>
        <w:noProof/>
        <w:lang w:val="en-IE" w:eastAsia="en-IE"/>
      </w:rPr>
      <w:drawing>
        <wp:anchor distT="0" distB="0" distL="114300" distR="114300" simplePos="0" relativeHeight="251663360" behindDoc="0" locked="0" layoutInCell="1" allowOverlap="1" wp14:anchorId="23D4D5D0" wp14:editId="4FEEFAA9">
          <wp:simplePos x="0" y="0"/>
          <wp:positionH relativeFrom="column">
            <wp:posOffset>6102350</wp:posOffset>
          </wp:positionH>
          <wp:positionV relativeFrom="paragraph">
            <wp:posOffset>-220345</wp:posOffset>
          </wp:positionV>
          <wp:extent cx="557530" cy="557530"/>
          <wp:effectExtent l="0" t="0" r="0" b="0"/>
          <wp:wrapSquare wrapText="bothSides"/>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530" cy="557530"/>
                  </a:xfrm>
                  <a:prstGeom prst="rect">
                    <a:avLst/>
                  </a:prstGeom>
                </pic:spPr>
              </pic:pic>
            </a:graphicData>
          </a:graphic>
        </wp:anchor>
      </w:drawing>
    </w:r>
    <w:r>
      <w:t>Report of 12</w:t>
    </w:r>
    <w:r w:rsidRPr="00DA2EEA">
      <w:rPr>
        <w:vertAlign w:val="superscript"/>
      </w:rPr>
      <w:t>th</w:t>
    </w:r>
    <w:r>
      <w:t xml:space="preserve"> Joint IMO/ITU EG meeting </w:t>
    </w:r>
    <w:r>
      <w:tab/>
    </w:r>
    <w:r>
      <w:tab/>
      <w:t>30.08.2016</w:t>
    </w:r>
  </w:p>
  <w:p w14:paraId="5C90F30B" w14:textId="77777777" w:rsidR="00DA2EEA" w:rsidRDefault="00DA2EEA" w:rsidP="00DA2EEA">
    <w:pPr>
      <w:pStyle w:val="Header"/>
      <w:spacing w:beforeLines="0" w:before="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CFE48" w14:textId="77777777" w:rsidR="00DA2EEA" w:rsidRDefault="00DA2E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32EF8"/>
    <w:multiLevelType w:val="hybridMultilevel"/>
    <w:tmpl w:val="5EDCAD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0C80CF8"/>
    <w:multiLevelType w:val="hybridMultilevel"/>
    <w:tmpl w:val="909893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422B09"/>
    <w:multiLevelType w:val="hybridMultilevel"/>
    <w:tmpl w:val="6BB0AB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DB0257C"/>
    <w:multiLevelType w:val="hybridMultilevel"/>
    <w:tmpl w:val="5A98E1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19050E4"/>
    <w:multiLevelType w:val="hybridMultilevel"/>
    <w:tmpl w:val="2794AF1A"/>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1DE6FD3"/>
    <w:multiLevelType w:val="hybridMultilevel"/>
    <w:tmpl w:val="4B2C6848"/>
    <w:lvl w:ilvl="0" w:tplc="7952C54A">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F080305"/>
    <w:multiLevelType w:val="hybridMultilevel"/>
    <w:tmpl w:val="F6386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F807453"/>
    <w:multiLevelType w:val="hybridMultilevel"/>
    <w:tmpl w:val="C728E71C"/>
    <w:lvl w:ilvl="0" w:tplc="1CC4DAF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0EB5271"/>
    <w:multiLevelType w:val="hybridMultilevel"/>
    <w:tmpl w:val="05362588"/>
    <w:lvl w:ilvl="0" w:tplc="CEF420B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359267E1"/>
    <w:multiLevelType w:val="hybridMultilevel"/>
    <w:tmpl w:val="CD7CC5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696643D"/>
    <w:multiLevelType w:val="hybridMultilevel"/>
    <w:tmpl w:val="907EAB20"/>
    <w:lvl w:ilvl="0" w:tplc="38BCDA84">
      <w:numFmt w:val="bullet"/>
      <w:lvlText w:val="•"/>
      <w:lvlJc w:val="left"/>
      <w:pPr>
        <w:ind w:left="1073" w:hanging="713"/>
      </w:pPr>
      <w:rPr>
        <w:rFonts w:ascii="Calibri" w:eastAsia="Times New Roman" w:hAnsi="Calibri"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nsid w:val="418B3392"/>
    <w:multiLevelType w:val="hybridMultilevel"/>
    <w:tmpl w:val="54AA7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6B95C38"/>
    <w:multiLevelType w:val="hybridMultilevel"/>
    <w:tmpl w:val="196249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55A012D2"/>
    <w:multiLevelType w:val="hybridMultilevel"/>
    <w:tmpl w:val="7B2CEB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5A7A3ED9"/>
    <w:multiLevelType w:val="hybridMultilevel"/>
    <w:tmpl w:val="A266B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BA6428E"/>
    <w:multiLevelType w:val="hybridMultilevel"/>
    <w:tmpl w:val="2006C8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5C4A525E"/>
    <w:multiLevelType w:val="hybridMultilevel"/>
    <w:tmpl w:val="6D1A0D56"/>
    <w:lvl w:ilvl="0" w:tplc="1CC4DAF4">
      <w:start w:val="1"/>
      <w:numFmt w:val="decimal"/>
      <w:lvlText w:val="%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7">
    <w:nsid w:val="65803C75"/>
    <w:multiLevelType w:val="multilevel"/>
    <w:tmpl w:val="3F4CCC16"/>
    <w:lvl w:ilvl="0">
      <w:start w:val="1"/>
      <w:numFmt w:val="decimal"/>
      <w:pStyle w:val="Heading4"/>
      <w:lvlText w:val="%1."/>
      <w:lvlJc w:val="left"/>
      <w:pPr>
        <w:ind w:left="360" w:hanging="360"/>
      </w:pPr>
    </w:lvl>
    <w:lvl w:ilvl="1">
      <w:start w:val="1"/>
      <w:numFmt w:val="decimal"/>
      <w:pStyle w:val="Heading5"/>
      <w:lvlText w:val="%1.%2."/>
      <w:lvlJc w:val="left"/>
      <w:pPr>
        <w:ind w:left="792" w:hanging="432"/>
      </w:pPr>
      <w:rPr>
        <w:color w:val="365F91" w:themeColor="accent1"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7"/>
  </w:num>
  <w:num w:numId="3">
    <w:abstractNumId w:val="14"/>
  </w:num>
  <w:num w:numId="4">
    <w:abstractNumId w:val="1"/>
  </w:num>
  <w:num w:numId="5">
    <w:abstractNumId w:val="17"/>
  </w:num>
  <w:num w:numId="6">
    <w:abstractNumId w:val="11"/>
  </w:num>
  <w:num w:numId="7">
    <w:abstractNumId w:val="17"/>
  </w:num>
  <w:num w:numId="8">
    <w:abstractNumId w:val="17"/>
  </w:num>
  <w:num w:numId="9">
    <w:abstractNumId w:val="17"/>
  </w:num>
  <w:num w:numId="10">
    <w:abstractNumId w:val="0"/>
  </w:num>
  <w:num w:numId="11">
    <w:abstractNumId w:val="12"/>
  </w:num>
  <w:num w:numId="12">
    <w:abstractNumId w:val="10"/>
  </w:num>
  <w:num w:numId="13">
    <w:abstractNumId w:val="13"/>
  </w:num>
  <w:num w:numId="14">
    <w:abstractNumId w:val="3"/>
  </w:num>
  <w:num w:numId="15">
    <w:abstractNumId w:val="9"/>
  </w:num>
  <w:num w:numId="16">
    <w:abstractNumId w:val="17"/>
  </w:num>
  <w:num w:numId="17">
    <w:abstractNumId w:val="17"/>
  </w:num>
  <w:num w:numId="18">
    <w:abstractNumId w:val="6"/>
  </w:num>
  <w:num w:numId="19">
    <w:abstractNumId w:val="2"/>
  </w:num>
  <w:num w:numId="20">
    <w:abstractNumId w:val="15"/>
  </w:num>
  <w:num w:numId="21">
    <w:abstractNumId w:val="5"/>
  </w:num>
  <w:num w:numId="22">
    <w:abstractNumId w:val="8"/>
  </w:num>
  <w:num w:numId="23">
    <w:abstractNumId w:val="7"/>
  </w:num>
  <w:num w:numId="24">
    <w:abstractNumId w:val="17"/>
  </w:num>
  <w:num w:numId="2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933"/>
    <w:rsid w:val="000006C6"/>
    <w:rsid w:val="00000AD8"/>
    <w:rsid w:val="00002800"/>
    <w:rsid w:val="00004489"/>
    <w:rsid w:val="00006160"/>
    <w:rsid w:val="000105B0"/>
    <w:rsid w:val="00011947"/>
    <w:rsid w:val="00012074"/>
    <w:rsid w:val="000120DD"/>
    <w:rsid w:val="00013320"/>
    <w:rsid w:val="00016D18"/>
    <w:rsid w:val="0001754C"/>
    <w:rsid w:val="000202F6"/>
    <w:rsid w:val="00021206"/>
    <w:rsid w:val="000216E8"/>
    <w:rsid w:val="000218E1"/>
    <w:rsid w:val="00021B91"/>
    <w:rsid w:val="0002347E"/>
    <w:rsid w:val="000251F1"/>
    <w:rsid w:val="000258B7"/>
    <w:rsid w:val="000258CC"/>
    <w:rsid w:val="000268DD"/>
    <w:rsid w:val="00027B05"/>
    <w:rsid w:val="00030D5B"/>
    <w:rsid w:val="00031B8B"/>
    <w:rsid w:val="000355FE"/>
    <w:rsid w:val="0003566E"/>
    <w:rsid w:val="0003619B"/>
    <w:rsid w:val="0003745C"/>
    <w:rsid w:val="00037940"/>
    <w:rsid w:val="00037ECF"/>
    <w:rsid w:val="000401FC"/>
    <w:rsid w:val="00040E49"/>
    <w:rsid w:val="00042708"/>
    <w:rsid w:val="00042DBF"/>
    <w:rsid w:val="000439A1"/>
    <w:rsid w:val="00045667"/>
    <w:rsid w:val="00057554"/>
    <w:rsid w:val="00060520"/>
    <w:rsid w:val="00060FE1"/>
    <w:rsid w:val="000616DB"/>
    <w:rsid w:val="00064688"/>
    <w:rsid w:val="000646B5"/>
    <w:rsid w:val="00065A66"/>
    <w:rsid w:val="00067791"/>
    <w:rsid w:val="00067965"/>
    <w:rsid w:val="00070BF3"/>
    <w:rsid w:val="00070EDF"/>
    <w:rsid w:val="00075686"/>
    <w:rsid w:val="0008242F"/>
    <w:rsid w:val="00083DF0"/>
    <w:rsid w:val="000873ED"/>
    <w:rsid w:val="00090B83"/>
    <w:rsid w:val="0009285B"/>
    <w:rsid w:val="000940FE"/>
    <w:rsid w:val="0009431B"/>
    <w:rsid w:val="000A3DB4"/>
    <w:rsid w:val="000A3F32"/>
    <w:rsid w:val="000A53F2"/>
    <w:rsid w:val="000A58CC"/>
    <w:rsid w:val="000B1386"/>
    <w:rsid w:val="000B1E38"/>
    <w:rsid w:val="000B705C"/>
    <w:rsid w:val="000B707B"/>
    <w:rsid w:val="000C06E7"/>
    <w:rsid w:val="000C484E"/>
    <w:rsid w:val="000C4989"/>
    <w:rsid w:val="000C5B8B"/>
    <w:rsid w:val="000C757E"/>
    <w:rsid w:val="000C7D1F"/>
    <w:rsid w:val="000D4664"/>
    <w:rsid w:val="000D6662"/>
    <w:rsid w:val="000D6EE4"/>
    <w:rsid w:val="000D778D"/>
    <w:rsid w:val="000E027C"/>
    <w:rsid w:val="000E13B4"/>
    <w:rsid w:val="000E3DDA"/>
    <w:rsid w:val="000E3FC4"/>
    <w:rsid w:val="000E529B"/>
    <w:rsid w:val="000E64F9"/>
    <w:rsid w:val="000E7265"/>
    <w:rsid w:val="000F0E15"/>
    <w:rsid w:val="000F1B7F"/>
    <w:rsid w:val="000F2DC0"/>
    <w:rsid w:val="000F36C4"/>
    <w:rsid w:val="000F520C"/>
    <w:rsid w:val="000F5CAF"/>
    <w:rsid w:val="000F739F"/>
    <w:rsid w:val="0010728A"/>
    <w:rsid w:val="0010752F"/>
    <w:rsid w:val="00116DAE"/>
    <w:rsid w:val="00132372"/>
    <w:rsid w:val="0013279C"/>
    <w:rsid w:val="001352E6"/>
    <w:rsid w:val="00140CD3"/>
    <w:rsid w:val="00141DD9"/>
    <w:rsid w:val="00142D16"/>
    <w:rsid w:val="00146D14"/>
    <w:rsid w:val="00155B89"/>
    <w:rsid w:val="00166F15"/>
    <w:rsid w:val="00171ACD"/>
    <w:rsid w:val="00180F79"/>
    <w:rsid w:val="00181F6A"/>
    <w:rsid w:val="00183AAA"/>
    <w:rsid w:val="001843D5"/>
    <w:rsid w:val="00185A48"/>
    <w:rsid w:val="00185EC1"/>
    <w:rsid w:val="00187061"/>
    <w:rsid w:val="00192C38"/>
    <w:rsid w:val="00193002"/>
    <w:rsid w:val="00197CF6"/>
    <w:rsid w:val="001A12D3"/>
    <w:rsid w:val="001A14FB"/>
    <w:rsid w:val="001A268C"/>
    <w:rsid w:val="001A738E"/>
    <w:rsid w:val="001A77B3"/>
    <w:rsid w:val="001B12DB"/>
    <w:rsid w:val="001B4450"/>
    <w:rsid w:val="001B7E1F"/>
    <w:rsid w:val="001C14F7"/>
    <w:rsid w:val="001C2AB0"/>
    <w:rsid w:val="001C2FE0"/>
    <w:rsid w:val="001C4933"/>
    <w:rsid w:val="001D21B4"/>
    <w:rsid w:val="001D6D27"/>
    <w:rsid w:val="001D7143"/>
    <w:rsid w:val="001F0AFB"/>
    <w:rsid w:val="001F286A"/>
    <w:rsid w:val="001F3B71"/>
    <w:rsid w:val="001F3CC6"/>
    <w:rsid w:val="001F7318"/>
    <w:rsid w:val="00200225"/>
    <w:rsid w:val="002020A4"/>
    <w:rsid w:val="00202E0B"/>
    <w:rsid w:val="00203ECE"/>
    <w:rsid w:val="00205E81"/>
    <w:rsid w:val="00207147"/>
    <w:rsid w:val="00207285"/>
    <w:rsid w:val="00207395"/>
    <w:rsid w:val="00215F89"/>
    <w:rsid w:val="00221B3D"/>
    <w:rsid w:val="00222090"/>
    <w:rsid w:val="002229B8"/>
    <w:rsid w:val="00224ED8"/>
    <w:rsid w:val="002259F5"/>
    <w:rsid w:val="00227379"/>
    <w:rsid w:val="002310D5"/>
    <w:rsid w:val="00231424"/>
    <w:rsid w:val="002319C3"/>
    <w:rsid w:val="002325A7"/>
    <w:rsid w:val="002332AF"/>
    <w:rsid w:val="002373A8"/>
    <w:rsid w:val="00237970"/>
    <w:rsid w:val="002419DC"/>
    <w:rsid w:val="00241BA6"/>
    <w:rsid w:val="00243CCE"/>
    <w:rsid w:val="00244FED"/>
    <w:rsid w:val="00247634"/>
    <w:rsid w:val="002501FF"/>
    <w:rsid w:val="00250FD1"/>
    <w:rsid w:val="00252D8B"/>
    <w:rsid w:val="00256D59"/>
    <w:rsid w:val="00257CB7"/>
    <w:rsid w:val="00257F0D"/>
    <w:rsid w:val="002624C1"/>
    <w:rsid w:val="00264792"/>
    <w:rsid w:val="00265CEE"/>
    <w:rsid w:val="002660AB"/>
    <w:rsid w:val="00267D59"/>
    <w:rsid w:val="0027119A"/>
    <w:rsid w:val="00273394"/>
    <w:rsid w:val="00273BF4"/>
    <w:rsid w:val="00274A0A"/>
    <w:rsid w:val="002777BF"/>
    <w:rsid w:val="00277A03"/>
    <w:rsid w:val="00280AE1"/>
    <w:rsid w:val="00282B57"/>
    <w:rsid w:val="00282E1F"/>
    <w:rsid w:val="00283F0C"/>
    <w:rsid w:val="00284958"/>
    <w:rsid w:val="0029022B"/>
    <w:rsid w:val="00291FD4"/>
    <w:rsid w:val="00292D8F"/>
    <w:rsid w:val="0029405B"/>
    <w:rsid w:val="00296B71"/>
    <w:rsid w:val="00296DD5"/>
    <w:rsid w:val="00296F45"/>
    <w:rsid w:val="002A01B8"/>
    <w:rsid w:val="002A0CC3"/>
    <w:rsid w:val="002A1030"/>
    <w:rsid w:val="002A19A3"/>
    <w:rsid w:val="002A5C0B"/>
    <w:rsid w:val="002A6A38"/>
    <w:rsid w:val="002A6C14"/>
    <w:rsid w:val="002A7924"/>
    <w:rsid w:val="002B2BC5"/>
    <w:rsid w:val="002B2F7C"/>
    <w:rsid w:val="002B32D1"/>
    <w:rsid w:val="002B6470"/>
    <w:rsid w:val="002B6686"/>
    <w:rsid w:val="002B66B4"/>
    <w:rsid w:val="002B6E92"/>
    <w:rsid w:val="002B7E58"/>
    <w:rsid w:val="002C20D7"/>
    <w:rsid w:val="002C29B5"/>
    <w:rsid w:val="002C6716"/>
    <w:rsid w:val="002C699E"/>
    <w:rsid w:val="002C6F37"/>
    <w:rsid w:val="002D3C42"/>
    <w:rsid w:val="002D4DBB"/>
    <w:rsid w:val="002D5927"/>
    <w:rsid w:val="002D5FBC"/>
    <w:rsid w:val="002D792D"/>
    <w:rsid w:val="002E06A4"/>
    <w:rsid w:val="002E268B"/>
    <w:rsid w:val="002E2E8E"/>
    <w:rsid w:val="002E3828"/>
    <w:rsid w:val="002E44BA"/>
    <w:rsid w:val="002E4F2E"/>
    <w:rsid w:val="002E56F5"/>
    <w:rsid w:val="002E7346"/>
    <w:rsid w:val="002F0F72"/>
    <w:rsid w:val="002F7A9A"/>
    <w:rsid w:val="003018D1"/>
    <w:rsid w:val="00302A30"/>
    <w:rsid w:val="003033D5"/>
    <w:rsid w:val="00306FAD"/>
    <w:rsid w:val="00310A65"/>
    <w:rsid w:val="00310E8E"/>
    <w:rsid w:val="00314D20"/>
    <w:rsid w:val="00315F41"/>
    <w:rsid w:val="003165EF"/>
    <w:rsid w:val="0031699E"/>
    <w:rsid w:val="00317F5F"/>
    <w:rsid w:val="003208A6"/>
    <w:rsid w:val="00324AD0"/>
    <w:rsid w:val="00324CE5"/>
    <w:rsid w:val="00325D28"/>
    <w:rsid w:val="00327007"/>
    <w:rsid w:val="0033098C"/>
    <w:rsid w:val="003315F5"/>
    <w:rsid w:val="00331D40"/>
    <w:rsid w:val="00332FE3"/>
    <w:rsid w:val="00334398"/>
    <w:rsid w:val="003352B1"/>
    <w:rsid w:val="00335ADE"/>
    <w:rsid w:val="00342DDE"/>
    <w:rsid w:val="0034775B"/>
    <w:rsid w:val="00352CB4"/>
    <w:rsid w:val="00353C29"/>
    <w:rsid w:val="00354B1C"/>
    <w:rsid w:val="003566F7"/>
    <w:rsid w:val="00357C75"/>
    <w:rsid w:val="00362B9A"/>
    <w:rsid w:val="00364E83"/>
    <w:rsid w:val="00365630"/>
    <w:rsid w:val="0036652D"/>
    <w:rsid w:val="00367032"/>
    <w:rsid w:val="00371F00"/>
    <w:rsid w:val="0038115F"/>
    <w:rsid w:val="00384A5F"/>
    <w:rsid w:val="00387235"/>
    <w:rsid w:val="003875F9"/>
    <w:rsid w:val="00390207"/>
    <w:rsid w:val="003914C9"/>
    <w:rsid w:val="0039512C"/>
    <w:rsid w:val="003962C0"/>
    <w:rsid w:val="00396644"/>
    <w:rsid w:val="00397E1D"/>
    <w:rsid w:val="003A12DF"/>
    <w:rsid w:val="003A1DA1"/>
    <w:rsid w:val="003A3C21"/>
    <w:rsid w:val="003A66B1"/>
    <w:rsid w:val="003A6700"/>
    <w:rsid w:val="003B3E03"/>
    <w:rsid w:val="003B712A"/>
    <w:rsid w:val="003C0C43"/>
    <w:rsid w:val="003C0CE7"/>
    <w:rsid w:val="003C1241"/>
    <w:rsid w:val="003C4CBB"/>
    <w:rsid w:val="003C5855"/>
    <w:rsid w:val="003C6BFF"/>
    <w:rsid w:val="003C7332"/>
    <w:rsid w:val="003D02DD"/>
    <w:rsid w:val="003D0954"/>
    <w:rsid w:val="003D178B"/>
    <w:rsid w:val="003D2EAE"/>
    <w:rsid w:val="003D5DD0"/>
    <w:rsid w:val="003D6389"/>
    <w:rsid w:val="003E253D"/>
    <w:rsid w:val="003E3235"/>
    <w:rsid w:val="003E61AC"/>
    <w:rsid w:val="003E65B5"/>
    <w:rsid w:val="003F0E47"/>
    <w:rsid w:val="003F19A2"/>
    <w:rsid w:val="003F5080"/>
    <w:rsid w:val="003F50C7"/>
    <w:rsid w:val="003F6E51"/>
    <w:rsid w:val="003F728F"/>
    <w:rsid w:val="004016F6"/>
    <w:rsid w:val="004021E9"/>
    <w:rsid w:val="00402BD0"/>
    <w:rsid w:val="00402FDF"/>
    <w:rsid w:val="00403912"/>
    <w:rsid w:val="00403D64"/>
    <w:rsid w:val="00405FBF"/>
    <w:rsid w:val="00406AE5"/>
    <w:rsid w:val="00407EED"/>
    <w:rsid w:val="00410E66"/>
    <w:rsid w:val="0041359F"/>
    <w:rsid w:val="0041498F"/>
    <w:rsid w:val="00414C78"/>
    <w:rsid w:val="004202CD"/>
    <w:rsid w:val="00422CC4"/>
    <w:rsid w:val="00425A98"/>
    <w:rsid w:val="00426EB0"/>
    <w:rsid w:val="00430414"/>
    <w:rsid w:val="0043137C"/>
    <w:rsid w:val="0043139C"/>
    <w:rsid w:val="00432817"/>
    <w:rsid w:val="00434AD4"/>
    <w:rsid w:val="00436AE7"/>
    <w:rsid w:val="00441647"/>
    <w:rsid w:val="00442EDD"/>
    <w:rsid w:val="004445B2"/>
    <w:rsid w:val="00444EDD"/>
    <w:rsid w:val="004534D1"/>
    <w:rsid w:val="0045744C"/>
    <w:rsid w:val="00460651"/>
    <w:rsid w:val="00460924"/>
    <w:rsid w:val="00461A96"/>
    <w:rsid w:val="00462B6D"/>
    <w:rsid w:val="004631A3"/>
    <w:rsid w:val="00463BFE"/>
    <w:rsid w:val="00466703"/>
    <w:rsid w:val="004667DB"/>
    <w:rsid w:val="004672E7"/>
    <w:rsid w:val="00470D05"/>
    <w:rsid w:val="00472DC1"/>
    <w:rsid w:val="00477B6A"/>
    <w:rsid w:val="00480A8D"/>
    <w:rsid w:val="00487BE7"/>
    <w:rsid w:val="00490A16"/>
    <w:rsid w:val="00490CBB"/>
    <w:rsid w:val="00491119"/>
    <w:rsid w:val="00493145"/>
    <w:rsid w:val="004949B7"/>
    <w:rsid w:val="00494DE5"/>
    <w:rsid w:val="004A2B16"/>
    <w:rsid w:val="004A40B7"/>
    <w:rsid w:val="004A5CDE"/>
    <w:rsid w:val="004A64EF"/>
    <w:rsid w:val="004A6F8E"/>
    <w:rsid w:val="004A7877"/>
    <w:rsid w:val="004B09D6"/>
    <w:rsid w:val="004B2370"/>
    <w:rsid w:val="004B6F0D"/>
    <w:rsid w:val="004C0749"/>
    <w:rsid w:val="004C27E6"/>
    <w:rsid w:val="004C28BA"/>
    <w:rsid w:val="004C48B8"/>
    <w:rsid w:val="004C5D9F"/>
    <w:rsid w:val="004C7606"/>
    <w:rsid w:val="004D06EA"/>
    <w:rsid w:val="004D61F0"/>
    <w:rsid w:val="004D6B30"/>
    <w:rsid w:val="004D728A"/>
    <w:rsid w:val="004E1E51"/>
    <w:rsid w:val="004E32D4"/>
    <w:rsid w:val="004E350B"/>
    <w:rsid w:val="004E3788"/>
    <w:rsid w:val="004E4DFA"/>
    <w:rsid w:val="004E4E92"/>
    <w:rsid w:val="004E619F"/>
    <w:rsid w:val="004E7A42"/>
    <w:rsid w:val="004F0D43"/>
    <w:rsid w:val="004F1287"/>
    <w:rsid w:val="004F2EB2"/>
    <w:rsid w:val="004F3B20"/>
    <w:rsid w:val="005015A2"/>
    <w:rsid w:val="005022D6"/>
    <w:rsid w:val="00503268"/>
    <w:rsid w:val="005035E5"/>
    <w:rsid w:val="00504966"/>
    <w:rsid w:val="00505D15"/>
    <w:rsid w:val="005128B0"/>
    <w:rsid w:val="00513056"/>
    <w:rsid w:val="00515B2C"/>
    <w:rsid w:val="00515FA1"/>
    <w:rsid w:val="00520674"/>
    <w:rsid w:val="00523D32"/>
    <w:rsid w:val="00523F21"/>
    <w:rsid w:val="005309BA"/>
    <w:rsid w:val="00530BE3"/>
    <w:rsid w:val="00531987"/>
    <w:rsid w:val="00533B37"/>
    <w:rsid w:val="00540167"/>
    <w:rsid w:val="00542735"/>
    <w:rsid w:val="00542D53"/>
    <w:rsid w:val="00544459"/>
    <w:rsid w:val="005449C0"/>
    <w:rsid w:val="005462FA"/>
    <w:rsid w:val="005524DF"/>
    <w:rsid w:val="00556D61"/>
    <w:rsid w:val="005716F1"/>
    <w:rsid w:val="005728D8"/>
    <w:rsid w:val="0057461F"/>
    <w:rsid w:val="00574F6B"/>
    <w:rsid w:val="0057584B"/>
    <w:rsid w:val="00580C25"/>
    <w:rsid w:val="005862D7"/>
    <w:rsid w:val="00586DF4"/>
    <w:rsid w:val="00592261"/>
    <w:rsid w:val="00592DA2"/>
    <w:rsid w:val="0059442D"/>
    <w:rsid w:val="00594C47"/>
    <w:rsid w:val="00594EC9"/>
    <w:rsid w:val="00597F3F"/>
    <w:rsid w:val="005A42A7"/>
    <w:rsid w:val="005A60D1"/>
    <w:rsid w:val="005A6374"/>
    <w:rsid w:val="005A7CCB"/>
    <w:rsid w:val="005B255F"/>
    <w:rsid w:val="005B4219"/>
    <w:rsid w:val="005B45D8"/>
    <w:rsid w:val="005B6DA1"/>
    <w:rsid w:val="005C2E44"/>
    <w:rsid w:val="005C32C8"/>
    <w:rsid w:val="005C3F1E"/>
    <w:rsid w:val="005C4913"/>
    <w:rsid w:val="005C630A"/>
    <w:rsid w:val="005D0A14"/>
    <w:rsid w:val="005D10A5"/>
    <w:rsid w:val="005D4195"/>
    <w:rsid w:val="005D48DA"/>
    <w:rsid w:val="005D51FC"/>
    <w:rsid w:val="005D7581"/>
    <w:rsid w:val="005E1838"/>
    <w:rsid w:val="005E2137"/>
    <w:rsid w:val="005E29F9"/>
    <w:rsid w:val="005E3FC5"/>
    <w:rsid w:val="005E56F8"/>
    <w:rsid w:val="005E6C56"/>
    <w:rsid w:val="005F2C21"/>
    <w:rsid w:val="005F4FAC"/>
    <w:rsid w:val="005F70F6"/>
    <w:rsid w:val="005F7D0E"/>
    <w:rsid w:val="005F7F80"/>
    <w:rsid w:val="0060029F"/>
    <w:rsid w:val="00601DB0"/>
    <w:rsid w:val="00607595"/>
    <w:rsid w:val="00610489"/>
    <w:rsid w:val="00610890"/>
    <w:rsid w:val="006108EB"/>
    <w:rsid w:val="00612411"/>
    <w:rsid w:val="00612A69"/>
    <w:rsid w:val="0061377B"/>
    <w:rsid w:val="006156EC"/>
    <w:rsid w:val="0062340E"/>
    <w:rsid w:val="006240CD"/>
    <w:rsid w:val="006255C3"/>
    <w:rsid w:val="00627D87"/>
    <w:rsid w:val="0063059A"/>
    <w:rsid w:val="00632CBC"/>
    <w:rsid w:val="00633D09"/>
    <w:rsid w:val="00635133"/>
    <w:rsid w:val="00637A1D"/>
    <w:rsid w:val="00643ED8"/>
    <w:rsid w:val="0064598A"/>
    <w:rsid w:val="00646288"/>
    <w:rsid w:val="00646EC8"/>
    <w:rsid w:val="0065090B"/>
    <w:rsid w:val="0065090D"/>
    <w:rsid w:val="00653C7F"/>
    <w:rsid w:val="00654CBD"/>
    <w:rsid w:val="00660E83"/>
    <w:rsid w:val="006636B8"/>
    <w:rsid w:val="00665082"/>
    <w:rsid w:val="006669EB"/>
    <w:rsid w:val="00670664"/>
    <w:rsid w:val="00670EC1"/>
    <w:rsid w:val="006751A7"/>
    <w:rsid w:val="0067632E"/>
    <w:rsid w:val="00676590"/>
    <w:rsid w:val="006776E6"/>
    <w:rsid w:val="00680643"/>
    <w:rsid w:val="006837CC"/>
    <w:rsid w:val="00685F12"/>
    <w:rsid w:val="00686AC9"/>
    <w:rsid w:val="0068752F"/>
    <w:rsid w:val="006907D1"/>
    <w:rsid w:val="006931FE"/>
    <w:rsid w:val="00693634"/>
    <w:rsid w:val="00694161"/>
    <w:rsid w:val="006958CC"/>
    <w:rsid w:val="00696FFF"/>
    <w:rsid w:val="006A22C3"/>
    <w:rsid w:val="006A55E9"/>
    <w:rsid w:val="006B04DD"/>
    <w:rsid w:val="006B0887"/>
    <w:rsid w:val="006B5872"/>
    <w:rsid w:val="006B7A27"/>
    <w:rsid w:val="006B7B07"/>
    <w:rsid w:val="006C05E6"/>
    <w:rsid w:val="006C1864"/>
    <w:rsid w:val="006C36C0"/>
    <w:rsid w:val="006C3893"/>
    <w:rsid w:val="006C5BD1"/>
    <w:rsid w:val="006C75A0"/>
    <w:rsid w:val="006D0707"/>
    <w:rsid w:val="006D2275"/>
    <w:rsid w:val="006D64BB"/>
    <w:rsid w:val="006D7BF5"/>
    <w:rsid w:val="006E69F0"/>
    <w:rsid w:val="006F1098"/>
    <w:rsid w:val="006F1EEE"/>
    <w:rsid w:val="006F5145"/>
    <w:rsid w:val="006F78A3"/>
    <w:rsid w:val="006F7AAE"/>
    <w:rsid w:val="00700234"/>
    <w:rsid w:val="00702834"/>
    <w:rsid w:val="00702C22"/>
    <w:rsid w:val="0070540C"/>
    <w:rsid w:val="007057E6"/>
    <w:rsid w:val="00705DDD"/>
    <w:rsid w:val="00710B2B"/>
    <w:rsid w:val="0071153B"/>
    <w:rsid w:val="00711F44"/>
    <w:rsid w:val="00712057"/>
    <w:rsid w:val="00714414"/>
    <w:rsid w:val="00715982"/>
    <w:rsid w:val="0071675D"/>
    <w:rsid w:val="007170E3"/>
    <w:rsid w:val="00717C2B"/>
    <w:rsid w:val="00722D05"/>
    <w:rsid w:val="00723905"/>
    <w:rsid w:val="00723FEB"/>
    <w:rsid w:val="0073326F"/>
    <w:rsid w:val="00733A84"/>
    <w:rsid w:val="00734479"/>
    <w:rsid w:val="00735BC3"/>
    <w:rsid w:val="00741A0B"/>
    <w:rsid w:val="00741A6F"/>
    <w:rsid w:val="00741C52"/>
    <w:rsid w:val="00742EC4"/>
    <w:rsid w:val="00743B36"/>
    <w:rsid w:val="00744690"/>
    <w:rsid w:val="00745BC8"/>
    <w:rsid w:val="00750185"/>
    <w:rsid w:val="0075141F"/>
    <w:rsid w:val="007515B7"/>
    <w:rsid w:val="007535C5"/>
    <w:rsid w:val="00754B9F"/>
    <w:rsid w:val="007551E2"/>
    <w:rsid w:val="00756E3E"/>
    <w:rsid w:val="007612CF"/>
    <w:rsid w:val="007623A7"/>
    <w:rsid w:val="00762D54"/>
    <w:rsid w:val="00764DFD"/>
    <w:rsid w:val="00767AA6"/>
    <w:rsid w:val="00771FF2"/>
    <w:rsid w:val="007723A2"/>
    <w:rsid w:val="007757C4"/>
    <w:rsid w:val="00775A78"/>
    <w:rsid w:val="00780DC5"/>
    <w:rsid w:val="00781709"/>
    <w:rsid w:val="007818F9"/>
    <w:rsid w:val="0078367C"/>
    <w:rsid w:val="00783AAD"/>
    <w:rsid w:val="00785082"/>
    <w:rsid w:val="007865F1"/>
    <w:rsid w:val="00790598"/>
    <w:rsid w:val="00793420"/>
    <w:rsid w:val="00794F8E"/>
    <w:rsid w:val="007A104C"/>
    <w:rsid w:val="007A2E45"/>
    <w:rsid w:val="007A43EA"/>
    <w:rsid w:val="007A5A6E"/>
    <w:rsid w:val="007A5C39"/>
    <w:rsid w:val="007A6576"/>
    <w:rsid w:val="007B2C34"/>
    <w:rsid w:val="007B3578"/>
    <w:rsid w:val="007B5104"/>
    <w:rsid w:val="007B589A"/>
    <w:rsid w:val="007B605F"/>
    <w:rsid w:val="007C0215"/>
    <w:rsid w:val="007C0641"/>
    <w:rsid w:val="007C0905"/>
    <w:rsid w:val="007C2AF3"/>
    <w:rsid w:val="007C2FEA"/>
    <w:rsid w:val="007D18DA"/>
    <w:rsid w:val="007D195D"/>
    <w:rsid w:val="007D32B1"/>
    <w:rsid w:val="007D4260"/>
    <w:rsid w:val="007D46B7"/>
    <w:rsid w:val="007E034A"/>
    <w:rsid w:val="007E10CF"/>
    <w:rsid w:val="007E1343"/>
    <w:rsid w:val="007E2805"/>
    <w:rsid w:val="007E2B03"/>
    <w:rsid w:val="007F1EF6"/>
    <w:rsid w:val="007F5606"/>
    <w:rsid w:val="007F5E63"/>
    <w:rsid w:val="007F76A7"/>
    <w:rsid w:val="007F7DA7"/>
    <w:rsid w:val="00800B7E"/>
    <w:rsid w:val="00803285"/>
    <w:rsid w:val="00804843"/>
    <w:rsid w:val="00804C21"/>
    <w:rsid w:val="0080621A"/>
    <w:rsid w:val="0081117B"/>
    <w:rsid w:val="0081171D"/>
    <w:rsid w:val="00811973"/>
    <w:rsid w:val="00811BDB"/>
    <w:rsid w:val="00811DF3"/>
    <w:rsid w:val="00814142"/>
    <w:rsid w:val="00814B2F"/>
    <w:rsid w:val="00814C35"/>
    <w:rsid w:val="008165FE"/>
    <w:rsid w:val="00816FAE"/>
    <w:rsid w:val="008208CB"/>
    <w:rsid w:val="00821F45"/>
    <w:rsid w:val="0083203A"/>
    <w:rsid w:val="008326D4"/>
    <w:rsid w:val="0083323F"/>
    <w:rsid w:val="00833BBD"/>
    <w:rsid w:val="00834984"/>
    <w:rsid w:val="00836DF7"/>
    <w:rsid w:val="00837030"/>
    <w:rsid w:val="008370EE"/>
    <w:rsid w:val="0084039C"/>
    <w:rsid w:val="00841E5A"/>
    <w:rsid w:val="008432CC"/>
    <w:rsid w:val="00843AF3"/>
    <w:rsid w:val="008461E5"/>
    <w:rsid w:val="00846875"/>
    <w:rsid w:val="0084756A"/>
    <w:rsid w:val="00850BAE"/>
    <w:rsid w:val="008518FC"/>
    <w:rsid w:val="00855F9C"/>
    <w:rsid w:val="00856681"/>
    <w:rsid w:val="00856B36"/>
    <w:rsid w:val="00860487"/>
    <w:rsid w:val="0086115F"/>
    <w:rsid w:val="00861862"/>
    <w:rsid w:val="00862167"/>
    <w:rsid w:val="00866561"/>
    <w:rsid w:val="0087036B"/>
    <w:rsid w:val="00873FCB"/>
    <w:rsid w:val="008759A1"/>
    <w:rsid w:val="00876070"/>
    <w:rsid w:val="0087634A"/>
    <w:rsid w:val="00877937"/>
    <w:rsid w:val="008779D4"/>
    <w:rsid w:val="00877E4B"/>
    <w:rsid w:val="0088060C"/>
    <w:rsid w:val="0088156B"/>
    <w:rsid w:val="00882409"/>
    <w:rsid w:val="008829C5"/>
    <w:rsid w:val="00883499"/>
    <w:rsid w:val="00892327"/>
    <w:rsid w:val="00895B8D"/>
    <w:rsid w:val="008975F6"/>
    <w:rsid w:val="008A0342"/>
    <w:rsid w:val="008A2F69"/>
    <w:rsid w:val="008A30E0"/>
    <w:rsid w:val="008A3898"/>
    <w:rsid w:val="008A605D"/>
    <w:rsid w:val="008A66A1"/>
    <w:rsid w:val="008B2054"/>
    <w:rsid w:val="008B372E"/>
    <w:rsid w:val="008B37D9"/>
    <w:rsid w:val="008B49B1"/>
    <w:rsid w:val="008C10A9"/>
    <w:rsid w:val="008C2580"/>
    <w:rsid w:val="008C36B6"/>
    <w:rsid w:val="008C4688"/>
    <w:rsid w:val="008C60A0"/>
    <w:rsid w:val="008C77EA"/>
    <w:rsid w:val="008D01FE"/>
    <w:rsid w:val="008D1579"/>
    <w:rsid w:val="008D1783"/>
    <w:rsid w:val="008D1DA6"/>
    <w:rsid w:val="008D3709"/>
    <w:rsid w:val="008D746D"/>
    <w:rsid w:val="008D7C2C"/>
    <w:rsid w:val="008D7F52"/>
    <w:rsid w:val="008E0B51"/>
    <w:rsid w:val="008E2034"/>
    <w:rsid w:val="008E41F7"/>
    <w:rsid w:val="008E773E"/>
    <w:rsid w:val="008F05B7"/>
    <w:rsid w:val="008F3212"/>
    <w:rsid w:val="008F4DEC"/>
    <w:rsid w:val="008F621E"/>
    <w:rsid w:val="008F7416"/>
    <w:rsid w:val="00900FA8"/>
    <w:rsid w:val="009028D6"/>
    <w:rsid w:val="009052F0"/>
    <w:rsid w:val="00912116"/>
    <w:rsid w:val="00912D67"/>
    <w:rsid w:val="009135D4"/>
    <w:rsid w:val="00916081"/>
    <w:rsid w:val="00916333"/>
    <w:rsid w:val="00916D18"/>
    <w:rsid w:val="00917798"/>
    <w:rsid w:val="00925FF7"/>
    <w:rsid w:val="0092703E"/>
    <w:rsid w:val="009307A4"/>
    <w:rsid w:val="0093362D"/>
    <w:rsid w:val="00934B89"/>
    <w:rsid w:val="009350B2"/>
    <w:rsid w:val="00937383"/>
    <w:rsid w:val="00937F9E"/>
    <w:rsid w:val="0094154F"/>
    <w:rsid w:val="00943791"/>
    <w:rsid w:val="00943C08"/>
    <w:rsid w:val="00944D9E"/>
    <w:rsid w:val="009458DF"/>
    <w:rsid w:val="00945F93"/>
    <w:rsid w:val="0094606B"/>
    <w:rsid w:val="00946566"/>
    <w:rsid w:val="009563B3"/>
    <w:rsid w:val="00957566"/>
    <w:rsid w:val="00961A2E"/>
    <w:rsid w:val="0096599C"/>
    <w:rsid w:val="0097035D"/>
    <w:rsid w:val="00976B89"/>
    <w:rsid w:val="009811E2"/>
    <w:rsid w:val="00982F9A"/>
    <w:rsid w:val="00983D14"/>
    <w:rsid w:val="00984AA8"/>
    <w:rsid w:val="00985CB3"/>
    <w:rsid w:val="00987FAE"/>
    <w:rsid w:val="00990026"/>
    <w:rsid w:val="00990F84"/>
    <w:rsid w:val="00991BBF"/>
    <w:rsid w:val="00992251"/>
    <w:rsid w:val="0099407A"/>
    <w:rsid w:val="00994505"/>
    <w:rsid w:val="0099554C"/>
    <w:rsid w:val="009A0695"/>
    <w:rsid w:val="009A22B4"/>
    <w:rsid w:val="009A3D05"/>
    <w:rsid w:val="009A501A"/>
    <w:rsid w:val="009A529A"/>
    <w:rsid w:val="009A56D9"/>
    <w:rsid w:val="009A576F"/>
    <w:rsid w:val="009A7163"/>
    <w:rsid w:val="009A7822"/>
    <w:rsid w:val="009B0173"/>
    <w:rsid w:val="009B4FBA"/>
    <w:rsid w:val="009B5DEF"/>
    <w:rsid w:val="009C2EA6"/>
    <w:rsid w:val="009C36FD"/>
    <w:rsid w:val="009C3971"/>
    <w:rsid w:val="009C48B5"/>
    <w:rsid w:val="009C6571"/>
    <w:rsid w:val="009D51F8"/>
    <w:rsid w:val="009D5251"/>
    <w:rsid w:val="009D579A"/>
    <w:rsid w:val="009E2A95"/>
    <w:rsid w:val="009E3743"/>
    <w:rsid w:val="009E4EC7"/>
    <w:rsid w:val="009E52B2"/>
    <w:rsid w:val="009F19BC"/>
    <w:rsid w:val="009F2DAB"/>
    <w:rsid w:val="009F32C3"/>
    <w:rsid w:val="009F53D5"/>
    <w:rsid w:val="009F6851"/>
    <w:rsid w:val="009F789C"/>
    <w:rsid w:val="00A02508"/>
    <w:rsid w:val="00A07E48"/>
    <w:rsid w:val="00A07EC6"/>
    <w:rsid w:val="00A103B5"/>
    <w:rsid w:val="00A11AFE"/>
    <w:rsid w:val="00A12960"/>
    <w:rsid w:val="00A12AB3"/>
    <w:rsid w:val="00A17102"/>
    <w:rsid w:val="00A310B0"/>
    <w:rsid w:val="00A31B35"/>
    <w:rsid w:val="00A33F51"/>
    <w:rsid w:val="00A366D6"/>
    <w:rsid w:val="00A36E76"/>
    <w:rsid w:val="00A37934"/>
    <w:rsid w:val="00A40A20"/>
    <w:rsid w:val="00A40AE6"/>
    <w:rsid w:val="00A42B8E"/>
    <w:rsid w:val="00A453A3"/>
    <w:rsid w:val="00A46038"/>
    <w:rsid w:val="00A47757"/>
    <w:rsid w:val="00A5584F"/>
    <w:rsid w:val="00A57D45"/>
    <w:rsid w:val="00A57E85"/>
    <w:rsid w:val="00A64330"/>
    <w:rsid w:val="00A66893"/>
    <w:rsid w:val="00A71065"/>
    <w:rsid w:val="00A71C4E"/>
    <w:rsid w:val="00A72713"/>
    <w:rsid w:val="00A76F45"/>
    <w:rsid w:val="00A80C9B"/>
    <w:rsid w:val="00A833D0"/>
    <w:rsid w:val="00A83E3F"/>
    <w:rsid w:val="00A9085C"/>
    <w:rsid w:val="00A91BCC"/>
    <w:rsid w:val="00A91FC1"/>
    <w:rsid w:val="00A92EBA"/>
    <w:rsid w:val="00A94F8B"/>
    <w:rsid w:val="00A9779C"/>
    <w:rsid w:val="00AA1F68"/>
    <w:rsid w:val="00AA5B2E"/>
    <w:rsid w:val="00AA7B59"/>
    <w:rsid w:val="00AB6175"/>
    <w:rsid w:val="00AB6964"/>
    <w:rsid w:val="00AC01DD"/>
    <w:rsid w:val="00AC1410"/>
    <w:rsid w:val="00AC144D"/>
    <w:rsid w:val="00AC387C"/>
    <w:rsid w:val="00AC4879"/>
    <w:rsid w:val="00AD0070"/>
    <w:rsid w:val="00AD1FA6"/>
    <w:rsid w:val="00AD38DA"/>
    <w:rsid w:val="00AD3ACD"/>
    <w:rsid w:val="00AD3CCD"/>
    <w:rsid w:val="00AD4796"/>
    <w:rsid w:val="00AD6F8A"/>
    <w:rsid w:val="00AD759A"/>
    <w:rsid w:val="00AE4A54"/>
    <w:rsid w:val="00AE548C"/>
    <w:rsid w:val="00AF03AB"/>
    <w:rsid w:val="00AF0967"/>
    <w:rsid w:val="00AF0AEA"/>
    <w:rsid w:val="00AF31A4"/>
    <w:rsid w:val="00AF5400"/>
    <w:rsid w:val="00B01B55"/>
    <w:rsid w:val="00B01F0A"/>
    <w:rsid w:val="00B02814"/>
    <w:rsid w:val="00B1046B"/>
    <w:rsid w:val="00B11BBC"/>
    <w:rsid w:val="00B15B62"/>
    <w:rsid w:val="00B16FE6"/>
    <w:rsid w:val="00B17A58"/>
    <w:rsid w:val="00B2069D"/>
    <w:rsid w:val="00B23A5D"/>
    <w:rsid w:val="00B26C75"/>
    <w:rsid w:val="00B27D30"/>
    <w:rsid w:val="00B320B4"/>
    <w:rsid w:val="00B3516E"/>
    <w:rsid w:val="00B35EF0"/>
    <w:rsid w:val="00B40D7F"/>
    <w:rsid w:val="00B4268A"/>
    <w:rsid w:val="00B44257"/>
    <w:rsid w:val="00B45B11"/>
    <w:rsid w:val="00B462CA"/>
    <w:rsid w:val="00B475A5"/>
    <w:rsid w:val="00B509DB"/>
    <w:rsid w:val="00B51214"/>
    <w:rsid w:val="00B51460"/>
    <w:rsid w:val="00B528B3"/>
    <w:rsid w:val="00B52996"/>
    <w:rsid w:val="00B54640"/>
    <w:rsid w:val="00B54937"/>
    <w:rsid w:val="00B55714"/>
    <w:rsid w:val="00B62FE8"/>
    <w:rsid w:val="00B665A4"/>
    <w:rsid w:val="00B6725B"/>
    <w:rsid w:val="00B6730B"/>
    <w:rsid w:val="00B7008D"/>
    <w:rsid w:val="00B70704"/>
    <w:rsid w:val="00B70829"/>
    <w:rsid w:val="00B7120E"/>
    <w:rsid w:val="00B7351A"/>
    <w:rsid w:val="00B73A25"/>
    <w:rsid w:val="00B75B2B"/>
    <w:rsid w:val="00B75FD1"/>
    <w:rsid w:val="00B76C9C"/>
    <w:rsid w:val="00B87272"/>
    <w:rsid w:val="00B90E04"/>
    <w:rsid w:val="00B92CF3"/>
    <w:rsid w:val="00B934FE"/>
    <w:rsid w:val="00B9505B"/>
    <w:rsid w:val="00B972A6"/>
    <w:rsid w:val="00BA197C"/>
    <w:rsid w:val="00BA21D0"/>
    <w:rsid w:val="00BA5D74"/>
    <w:rsid w:val="00BB0787"/>
    <w:rsid w:val="00BB11F4"/>
    <w:rsid w:val="00BB13C3"/>
    <w:rsid w:val="00BB3B5F"/>
    <w:rsid w:val="00BB3EAC"/>
    <w:rsid w:val="00BB4E18"/>
    <w:rsid w:val="00BB52AA"/>
    <w:rsid w:val="00BB6AA4"/>
    <w:rsid w:val="00BB77F0"/>
    <w:rsid w:val="00BC28CA"/>
    <w:rsid w:val="00BC291A"/>
    <w:rsid w:val="00BC6F76"/>
    <w:rsid w:val="00BC7272"/>
    <w:rsid w:val="00BC72DA"/>
    <w:rsid w:val="00BD0A99"/>
    <w:rsid w:val="00BD4190"/>
    <w:rsid w:val="00BE5E6B"/>
    <w:rsid w:val="00BE7BDD"/>
    <w:rsid w:val="00BF10E9"/>
    <w:rsid w:val="00BF1647"/>
    <w:rsid w:val="00BF290A"/>
    <w:rsid w:val="00BF3BCA"/>
    <w:rsid w:val="00BF6431"/>
    <w:rsid w:val="00BF660A"/>
    <w:rsid w:val="00C00A2C"/>
    <w:rsid w:val="00C01861"/>
    <w:rsid w:val="00C04B37"/>
    <w:rsid w:val="00C105CB"/>
    <w:rsid w:val="00C123F5"/>
    <w:rsid w:val="00C13959"/>
    <w:rsid w:val="00C13E38"/>
    <w:rsid w:val="00C202FB"/>
    <w:rsid w:val="00C21E05"/>
    <w:rsid w:val="00C22183"/>
    <w:rsid w:val="00C24A74"/>
    <w:rsid w:val="00C269DD"/>
    <w:rsid w:val="00C31EE7"/>
    <w:rsid w:val="00C3298B"/>
    <w:rsid w:val="00C33187"/>
    <w:rsid w:val="00C33E86"/>
    <w:rsid w:val="00C34E19"/>
    <w:rsid w:val="00C36C49"/>
    <w:rsid w:val="00C379BC"/>
    <w:rsid w:val="00C4021B"/>
    <w:rsid w:val="00C42302"/>
    <w:rsid w:val="00C43549"/>
    <w:rsid w:val="00C4421B"/>
    <w:rsid w:val="00C50637"/>
    <w:rsid w:val="00C519E7"/>
    <w:rsid w:val="00C528A1"/>
    <w:rsid w:val="00C53144"/>
    <w:rsid w:val="00C54848"/>
    <w:rsid w:val="00C550F4"/>
    <w:rsid w:val="00C6611A"/>
    <w:rsid w:val="00C70065"/>
    <w:rsid w:val="00C709F3"/>
    <w:rsid w:val="00C723D7"/>
    <w:rsid w:val="00C72937"/>
    <w:rsid w:val="00C76684"/>
    <w:rsid w:val="00C771CC"/>
    <w:rsid w:val="00C80FAB"/>
    <w:rsid w:val="00C85409"/>
    <w:rsid w:val="00C942B1"/>
    <w:rsid w:val="00C94C84"/>
    <w:rsid w:val="00C9708A"/>
    <w:rsid w:val="00CA18E4"/>
    <w:rsid w:val="00CA1964"/>
    <w:rsid w:val="00CA19D1"/>
    <w:rsid w:val="00CA526D"/>
    <w:rsid w:val="00CA58A3"/>
    <w:rsid w:val="00CB34BA"/>
    <w:rsid w:val="00CB3537"/>
    <w:rsid w:val="00CB5840"/>
    <w:rsid w:val="00CB6537"/>
    <w:rsid w:val="00CB6CB2"/>
    <w:rsid w:val="00CB72DE"/>
    <w:rsid w:val="00CC12E1"/>
    <w:rsid w:val="00CC7586"/>
    <w:rsid w:val="00CD09BA"/>
    <w:rsid w:val="00CD2E35"/>
    <w:rsid w:val="00CD46EC"/>
    <w:rsid w:val="00CE2DE6"/>
    <w:rsid w:val="00CE3403"/>
    <w:rsid w:val="00CE3A1C"/>
    <w:rsid w:val="00CE4A4D"/>
    <w:rsid w:val="00CE5F64"/>
    <w:rsid w:val="00CE7E9E"/>
    <w:rsid w:val="00CF2FBA"/>
    <w:rsid w:val="00CF4607"/>
    <w:rsid w:val="00CF5ABC"/>
    <w:rsid w:val="00CF622F"/>
    <w:rsid w:val="00D04048"/>
    <w:rsid w:val="00D05C7B"/>
    <w:rsid w:val="00D12D83"/>
    <w:rsid w:val="00D14ACA"/>
    <w:rsid w:val="00D1557C"/>
    <w:rsid w:val="00D233B1"/>
    <w:rsid w:val="00D23CD7"/>
    <w:rsid w:val="00D26A73"/>
    <w:rsid w:val="00D27879"/>
    <w:rsid w:val="00D318A0"/>
    <w:rsid w:val="00D34E43"/>
    <w:rsid w:val="00D37196"/>
    <w:rsid w:val="00D37FA2"/>
    <w:rsid w:val="00D40D2A"/>
    <w:rsid w:val="00D40D65"/>
    <w:rsid w:val="00D439DE"/>
    <w:rsid w:val="00D45D96"/>
    <w:rsid w:val="00D47FE9"/>
    <w:rsid w:val="00D50C55"/>
    <w:rsid w:val="00D52B16"/>
    <w:rsid w:val="00D52BF5"/>
    <w:rsid w:val="00D55158"/>
    <w:rsid w:val="00D56E11"/>
    <w:rsid w:val="00D6020E"/>
    <w:rsid w:val="00D63748"/>
    <w:rsid w:val="00D66397"/>
    <w:rsid w:val="00D667FA"/>
    <w:rsid w:val="00D7217C"/>
    <w:rsid w:val="00D725D4"/>
    <w:rsid w:val="00D758AD"/>
    <w:rsid w:val="00D758C8"/>
    <w:rsid w:val="00D75CA2"/>
    <w:rsid w:val="00D81889"/>
    <w:rsid w:val="00D8242D"/>
    <w:rsid w:val="00D826E1"/>
    <w:rsid w:val="00D87296"/>
    <w:rsid w:val="00D872EA"/>
    <w:rsid w:val="00D90654"/>
    <w:rsid w:val="00D94213"/>
    <w:rsid w:val="00D946F8"/>
    <w:rsid w:val="00D94C75"/>
    <w:rsid w:val="00D94D31"/>
    <w:rsid w:val="00D96F75"/>
    <w:rsid w:val="00D97A6A"/>
    <w:rsid w:val="00DA0CE6"/>
    <w:rsid w:val="00DA1E55"/>
    <w:rsid w:val="00DA2542"/>
    <w:rsid w:val="00DA2EEA"/>
    <w:rsid w:val="00DA3D82"/>
    <w:rsid w:val="00DA4D9D"/>
    <w:rsid w:val="00DB1C6E"/>
    <w:rsid w:val="00DB1D0B"/>
    <w:rsid w:val="00DB22B5"/>
    <w:rsid w:val="00DB6A61"/>
    <w:rsid w:val="00DC0604"/>
    <w:rsid w:val="00DC0A21"/>
    <w:rsid w:val="00DC0ACC"/>
    <w:rsid w:val="00DC1D86"/>
    <w:rsid w:val="00DC5771"/>
    <w:rsid w:val="00DC7003"/>
    <w:rsid w:val="00DD3059"/>
    <w:rsid w:val="00DD3B7A"/>
    <w:rsid w:val="00DD3BE8"/>
    <w:rsid w:val="00DD438C"/>
    <w:rsid w:val="00DD492D"/>
    <w:rsid w:val="00DD519C"/>
    <w:rsid w:val="00DD7883"/>
    <w:rsid w:val="00DE211A"/>
    <w:rsid w:val="00DE2864"/>
    <w:rsid w:val="00DE35C2"/>
    <w:rsid w:val="00DE7595"/>
    <w:rsid w:val="00DF40B3"/>
    <w:rsid w:val="00DF419D"/>
    <w:rsid w:val="00DF43F2"/>
    <w:rsid w:val="00E00C51"/>
    <w:rsid w:val="00E10A55"/>
    <w:rsid w:val="00E138C1"/>
    <w:rsid w:val="00E1523E"/>
    <w:rsid w:val="00E20D8B"/>
    <w:rsid w:val="00E22652"/>
    <w:rsid w:val="00E3070A"/>
    <w:rsid w:val="00E30DFD"/>
    <w:rsid w:val="00E33048"/>
    <w:rsid w:val="00E34D99"/>
    <w:rsid w:val="00E3556C"/>
    <w:rsid w:val="00E3687B"/>
    <w:rsid w:val="00E41127"/>
    <w:rsid w:val="00E42C8F"/>
    <w:rsid w:val="00E46158"/>
    <w:rsid w:val="00E46A30"/>
    <w:rsid w:val="00E509D6"/>
    <w:rsid w:val="00E50AB7"/>
    <w:rsid w:val="00E5245F"/>
    <w:rsid w:val="00E532C6"/>
    <w:rsid w:val="00E5442D"/>
    <w:rsid w:val="00E55688"/>
    <w:rsid w:val="00E5640F"/>
    <w:rsid w:val="00E60CBA"/>
    <w:rsid w:val="00E61D08"/>
    <w:rsid w:val="00E633A4"/>
    <w:rsid w:val="00E633CA"/>
    <w:rsid w:val="00E645E6"/>
    <w:rsid w:val="00E6610D"/>
    <w:rsid w:val="00E671DD"/>
    <w:rsid w:val="00E735A4"/>
    <w:rsid w:val="00E73B41"/>
    <w:rsid w:val="00E74B68"/>
    <w:rsid w:val="00E759BD"/>
    <w:rsid w:val="00E76FDD"/>
    <w:rsid w:val="00E810BC"/>
    <w:rsid w:val="00E824EA"/>
    <w:rsid w:val="00E83832"/>
    <w:rsid w:val="00E8609F"/>
    <w:rsid w:val="00E8654F"/>
    <w:rsid w:val="00E87957"/>
    <w:rsid w:val="00E87B54"/>
    <w:rsid w:val="00E90109"/>
    <w:rsid w:val="00E91391"/>
    <w:rsid w:val="00E95ABB"/>
    <w:rsid w:val="00E960F0"/>
    <w:rsid w:val="00E962B6"/>
    <w:rsid w:val="00E9656C"/>
    <w:rsid w:val="00E9725F"/>
    <w:rsid w:val="00EA24D4"/>
    <w:rsid w:val="00EA4E5F"/>
    <w:rsid w:val="00EA6372"/>
    <w:rsid w:val="00EB20ED"/>
    <w:rsid w:val="00EB2CDE"/>
    <w:rsid w:val="00EB3BCB"/>
    <w:rsid w:val="00EB7792"/>
    <w:rsid w:val="00EC0BF0"/>
    <w:rsid w:val="00EC2823"/>
    <w:rsid w:val="00EC2CE2"/>
    <w:rsid w:val="00EC34F1"/>
    <w:rsid w:val="00EC5F30"/>
    <w:rsid w:val="00EC63BA"/>
    <w:rsid w:val="00EC6588"/>
    <w:rsid w:val="00EC6761"/>
    <w:rsid w:val="00ED0E19"/>
    <w:rsid w:val="00ED195F"/>
    <w:rsid w:val="00ED3197"/>
    <w:rsid w:val="00ED3859"/>
    <w:rsid w:val="00ED4AF6"/>
    <w:rsid w:val="00EE0659"/>
    <w:rsid w:val="00EE1F85"/>
    <w:rsid w:val="00EE2EC9"/>
    <w:rsid w:val="00EE721F"/>
    <w:rsid w:val="00EE7AA0"/>
    <w:rsid w:val="00EF14A9"/>
    <w:rsid w:val="00EF2A4B"/>
    <w:rsid w:val="00EF2B72"/>
    <w:rsid w:val="00EF3E71"/>
    <w:rsid w:val="00EF4AF9"/>
    <w:rsid w:val="00EF6CAE"/>
    <w:rsid w:val="00EF7F2F"/>
    <w:rsid w:val="00F03FFD"/>
    <w:rsid w:val="00F04B6B"/>
    <w:rsid w:val="00F04C72"/>
    <w:rsid w:val="00F110A9"/>
    <w:rsid w:val="00F12F70"/>
    <w:rsid w:val="00F15025"/>
    <w:rsid w:val="00F153D0"/>
    <w:rsid w:val="00F16AF2"/>
    <w:rsid w:val="00F177C5"/>
    <w:rsid w:val="00F20A3E"/>
    <w:rsid w:val="00F25E93"/>
    <w:rsid w:val="00F274F3"/>
    <w:rsid w:val="00F323EF"/>
    <w:rsid w:val="00F33FFD"/>
    <w:rsid w:val="00F36BCB"/>
    <w:rsid w:val="00F377C8"/>
    <w:rsid w:val="00F531E3"/>
    <w:rsid w:val="00F552EA"/>
    <w:rsid w:val="00F5650F"/>
    <w:rsid w:val="00F5681C"/>
    <w:rsid w:val="00F62917"/>
    <w:rsid w:val="00F72E70"/>
    <w:rsid w:val="00F73276"/>
    <w:rsid w:val="00F735F4"/>
    <w:rsid w:val="00F73940"/>
    <w:rsid w:val="00F7396E"/>
    <w:rsid w:val="00F742DC"/>
    <w:rsid w:val="00F77103"/>
    <w:rsid w:val="00F77B7D"/>
    <w:rsid w:val="00F80E6F"/>
    <w:rsid w:val="00F81D91"/>
    <w:rsid w:val="00F828C8"/>
    <w:rsid w:val="00F85DD8"/>
    <w:rsid w:val="00F902E4"/>
    <w:rsid w:val="00F90D49"/>
    <w:rsid w:val="00F90E05"/>
    <w:rsid w:val="00F924DD"/>
    <w:rsid w:val="00F924DF"/>
    <w:rsid w:val="00F93A91"/>
    <w:rsid w:val="00FA06FC"/>
    <w:rsid w:val="00FA216E"/>
    <w:rsid w:val="00FA2212"/>
    <w:rsid w:val="00FA57E7"/>
    <w:rsid w:val="00FA6A01"/>
    <w:rsid w:val="00FB023B"/>
    <w:rsid w:val="00FB211F"/>
    <w:rsid w:val="00FB2557"/>
    <w:rsid w:val="00FB3CF1"/>
    <w:rsid w:val="00FB5308"/>
    <w:rsid w:val="00FB5AB5"/>
    <w:rsid w:val="00FC546F"/>
    <w:rsid w:val="00FD1EF0"/>
    <w:rsid w:val="00FD2C3C"/>
    <w:rsid w:val="00FD3135"/>
    <w:rsid w:val="00FD3EA0"/>
    <w:rsid w:val="00FE2470"/>
    <w:rsid w:val="00FE4405"/>
    <w:rsid w:val="00FE474E"/>
    <w:rsid w:val="00FE5EB7"/>
    <w:rsid w:val="00FE6031"/>
    <w:rsid w:val="00FE6EFE"/>
    <w:rsid w:val="00FF01AE"/>
    <w:rsid w:val="00FF0CC1"/>
    <w:rsid w:val="00FF10C5"/>
    <w:rsid w:val="00FF363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9A21CD"/>
  <w15:docId w15:val="{57300F48-EA06-4C6B-949D-5AC42E57C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E93"/>
    <w:pPr>
      <w:spacing w:beforeLines="60" w:before="144"/>
      <w:jc w:val="both"/>
    </w:pPr>
    <w:rPr>
      <w:rFonts w:asciiTheme="minorHAnsi" w:hAnsiTheme="minorHAnsi"/>
      <w:sz w:val="22"/>
      <w:szCs w:val="22"/>
      <w:lang w:val="en-GB"/>
    </w:rPr>
  </w:style>
  <w:style w:type="paragraph" w:styleId="Heading1">
    <w:name w:val="heading 1"/>
    <w:basedOn w:val="Normal"/>
    <w:next w:val="Normal"/>
    <w:qFormat/>
    <w:rsid w:val="00282B57"/>
    <w:pPr>
      <w:spacing w:beforeLines="0" w:before="0" w:after="120"/>
      <w:outlineLvl w:val="0"/>
    </w:pPr>
    <w:rPr>
      <w:rFonts w:cs="Arial"/>
      <w:b/>
      <w:color w:val="1F497D" w:themeColor="text2"/>
      <w:sz w:val="24"/>
      <w:szCs w:val="24"/>
    </w:rPr>
  </w:style>
  <w:style w:type="paragraph" w:styleId="Heading2">
    <w:name w:val="heading 2"/>
    <w:basedOn w:val="Normal"/>
    <w:next w:val="Normal"/>
    <w:qFormat/>
    <w:rsid w:val="00282B57"/>
    <w:pPr>
      <w:spacing w:beforeLines="0" w:before="0" w:after="120"/>
      <w:jc w:val="right"/>
      <w:outlineLvl w:val="1"/>
    </w:pPr>
    <w:rPr>
      <w:rFonts w:cs="Arial"/>
      <w:b/>
      <w:i/>
      <w:color w:val="1F497D" w:themeColor="text2"/>
      <w:sz w:val="24"/>
      <w:szCs w:val="24"/>
    </w:rPr>
  </w:style>
  <w:style w:type="paragraph" w:styleId="Heading3">
    <w:name w:val="heading 3"/>
    <w:basedOn w:val="Normal"/>
    <w:next w:val="Normal"/>
    <w:qFormat/>
    <w:rsid w:val="00282B57"/>
    <w:pPr>
      <w:spacing w:beforeLines="0" w:before="0"/>
      <w:outlineLvl w:val="2"/>
    </w:pPr>
    <w:rPr>
      <w:rFonts w:cs="Arial"/>
      <w:color w:val="1F497D" w:themeColor="text2"/>
      <w:sz w:val="24"/>
      <w:szCs w:val="24"/>
      <w:u w:val="single"/>
    </w:rPr>
  </w:style>
  <w:style w:type="paragraph" w:styleId="Heading4">
    <w:name w:val="heading 4"/>
    <w:basedOn w:val="ListParagraph"/>
    <w:next w:val="Normal"/>
    <w:qFormat/>
    <w:rsid w:val="00775A78"/>
    <w:pPr>
      <w:numPr>
        <w:numId w:val="2"/>
      </w:numPr>
      <w:outlineLvl w:val="3"/>
    </w:pPr>
    <w:rPr>
      <w:b/>
      <w:caps/>
      <w:color w:val="00558C"/>
    </w:rPr>
  </w:style>
  <w:style w:type="paragraph" w:styleId="Heading5">
    <w:name w:val="heading 5"/>
    <w:basedOn w:val="Normal"/>
    <w:next w:val="Normal"/>
    <w:qFormat/>
    <w:rsid w:val="00EC34F1"/>
    <w:pPr>
      <w:numPr>
        <w:ilvl w:val="1"/>
        <w:numId w:val="2"/>
      </w:numPr>
      <w:spacing w:after="120"/>
      <w:outlineLvl w:val="4"/>
    </w:pPr>
    <w:rPr>
      <w:b/>
    </w:rPr>
  </w:style>
  <w:style w:type="paragraph" w:styleId="Heading6">
    <w:name w:val="heading 6"/>
    <w:basedOn w:val="Normal"/>
    <w:next w:val="Normal"/>
    <w:qFormat/>
    <w:pPr>
      <w:keepNext/>
      <w:jc w:val="center"/>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BodyTextChar">
    <w:name w:val="Body Text Char"/>
    <w:rPr>
      <w:sz w:val="24"/>
      <w:szCs w:val="24"/>
      <w:lang w:val="en-GB" w:eastAsia="en-US" w:bidi="ar-SA"/>
    </w:rPr>
  </w:style>
  <w:style w:type="paragraph" w:styleId="BodyText">
    <w:name w:val="Body Text"/>
    <w:aliases w:val=" Char"/>
    <w:basedOn w:val="Normal"/>
    <w:link w:val="BodyTextChar1"/>
    <w:rsid w:val="00BC72DA"/>
    <w:pPr>
      <w:spacing w:after="120"/>
    </w:pPr>
    <w:rPr>
      <w:sz w:val="24"/>
      <w:szCs w:val="24"/>
      <w:lang w:eastAsia="en-US"/>
    </w:rPr>
  </w:style>
  <w:style w:type="character" w:customStyle="1" w:styleId="BodyTextChar1">
    <w:name w:val="Body Text Char1"/>
    <w:aliases w:val=" Char Char"/>
    <w:link w:val="BodyText"/>
    <w:rsid w:val="00EB7792"/>
    <w:rPr>
      <w:sz w:val="24"/>
      <w:szCs w:val="24"/>
      <w:lang w:val="en-GB" w:eastAsia="en-US" w:bidi="ar-SA"/>
    </w:rPr>
  </w:style>
  <w:style w:type="paragraph" w:customStyle="1" w:styleId="IALASubtitle">
    <w:name w:val="IALA Subtitle"/>
    <w:basedOn w:val="Title"/>
    <w:rsid w:val="00410E66"/>
    <w:pPr>
      <w:spacing w:before="60"/>
    </w:pPr>
    <w:rPr>
      <w:sz w:val="24"/>
      <w:lang w:eastAsia="en-US"/>
    </w:rPr>
  </w:style>
  <w:style w:type="paragraph" w:styleId="Title">
    <w:name w:val="Title"/>
    <w:basedOn w:val="Normal"/>
    <w:qFormat/>
    <w:rsid w:val="00410E66"/>
    <w:pPr>
      <w:spacing w:before="240" w:after="60"/>
      <w:jc w:val="center"/>
      <w:outlineLvl w:val="0"/>
    </w:pPr>
    <w:rPr>
      <w:rFonts w:ascii="Arial" w:hAnsi="Arial" w:cs="Arial"/>
      <w:b/>
      <w:bCs/>
      <w:kern w:val="28"/>
      <w:sz w:val="32"/>
      <w:szCs w:val="32"/>
    </w:rPr>
  </w:style>
  <w:style w:type="paragraph" w:styleId="Header">
    <w:name w:val="header"/>
    <w:basedOn w:val="Normal"/>
    <w:rsid w:val="00B35EF0"/>
    <w:pPr>
      <w:tabs>
        <w:tab w:val="center" w:pos="4536"/>
        <w:tab w:val="right" w:pos="9072"/>
      </w:tabs>
    </w:pPr>
  </w:style>
  <w:style w:type="paragraph" w:styleId="Footer">
    <w:name w:val="footer"/>
    <w:basedOn w:val="Normal"/>
    <w:rsid w:val="00B35EF0"/>
    <w:pPr>
      <w:tabs>
        <w:tab w:val="center" w:pos="4536"/>
        <w:tab w:val="right" w:pos="9072"/>
      </w:tabs>
    </w:pPr>
  </w:style>
  <w:style w:type="paragraph" w:styleId="FootnoteText">
    <w:name w:val="footnote text"/>
    <w:basedOn w:val="Normal"/>
    <w:link w:val="FootnoteTextChar"/>
    <w:rsid w:val="00B16FE6"/>
  </w:style>
  <w:style w:type="character" w:customStyle="1" w:styleId="FootnoteTextChar">
    <w:name w:val="Footnote Text Char"/>
    <w:basedOn w:val="DefaultParagraphFont"/>
    <w:link w:val="FootnoteText"/>
    <w:rsid w:val="00B16FE6"/>
    <w:rPr>
      <w:lang w:val="en-GB"/>
    </w:rPr>
  </w:style>
  <w:style w:type="character" w:styleId="FootnoteReference">
    <w:name w:val="footnote reference"/>
    <w:basedOn w:val="DefaultParagraphFont"/>
    <w:rsid w:val="00B16FE6"/>
    <w:rPr>
      <w:vertAlign w:val="superscript"/>
    </w:rPr>
  </w:style>
  <w:style w:type="paragraph" w:styleId="ListParagraph">
    <w:name w:val="List Paragraph"/>
    <w:basedOn w:val="Normal"/>
    <w:uiPriority w:val="34"/>
    <w:qFormat/>
    <w:rsid w:val="000F36C4"/>
    <w:pPr>
      <w:ind w:left="720"/>
      <w:contextualSpacing/>
    </w:pPr>
  </w:style>
  <w:style w:type="character" w:styleId="CommentReference">
    <w:name w:val="annotation reference"/>
    <w:basedOn w:val="DefaultParagraphFont"/>
    <w:semiHidden/>
    <w:unhideWhenUsed/>
    <w:rsid w:val="006255C3"/>
    <w:rPr>
      <w:sz w:val="16"/>
      <w:szCs w:val="16"/>
    </w:rPr>
  </w:style>
  <w:style w:type="paragraph" w:styleId="CommentText">
    <w:name w:val="annotation text"/>
    <w:basedOn w:val="Normal"/>
    <w:link w:val="CommentTextChar"/>
    <w:semiHidden/>
    <w:unhideWhenUsed/>
    <w:rsid w:val="006255C3"/>
  </w:style>
  <w:style w:type="character" w:customStyle="1" w:styleId="CommentTextChar">
    <w:name w:val="Comment Text Char"/>
    <w:basedOn w:val="DefaultParagraphFont"/>
    <w:link w:val="CommentText"/>
    <w:semiHidden/>
    <w:rsid w:val="006255C3"/>
    <w:rPr>
      <w:lang w:val="en-GB"/>
    </w:rPr>
  </w:style>
  <w:style w:type="paragraph" w:styleId="CommentSubject">
    <w:name w:val="annotation subject"/>
    <w:basedOn w:val="CommentText"/>
    <w:next w:val="CommentText"/>
    <w:link w:val="CommentSubjectChar"/>
    <w:semiHidden/>
    <w:unhideWhenUsed/>
    <w:rsid w:val="006255C3"/>
    <w:rPr>
      <w:b/>
      <w:bCs/>
    </w:rPr>
  </w:style>
  <w:style w:type="character" w:customStyle="1" w:styleId="CommentSubjectChar">
    <w:name w:val="Comment Subject Char"/>
    <w:basedOn w:val="CommentTextChar"/>
    <w:link w:val="CommentSubject"/>
    <w:semiHidden/>
    <w:rsid w:val="006255C3"/>
    <w:rPr>
      <w:b/>
      <w:bCs/>
      <w:lang w:val="en-GB"/>
    </w:rPr>
  </w:style>
  <w:style w:type="table" w:customStyle="1" w:styleId="TableauGrille4-Accentuation11">
    <w:name w:val="Tableau Grille 4 - Accentuation 11"/>
    <w:basedOn w:val="TableNormal"/>
    <w:uiPriority w:val="49"/>
    <w:rsid w:val="00B62FE8"/>
    <w:rPr>
      <w:rFonts w:ascii="Calibri" w:eastAsia="Calibri" w:hAnsi="Calibri"/>
      <w:sz w:val="22"/>
      <w:szCs w:val="22"/>
      <w:lang w:val="en-GB"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
    <w:name w:val="Table Grid"/>
    <w:basedOn w:val="TableNormal"/>
    <w:rsid w:val="00181F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181F6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0412">
      <w:bodyDiv w:val="1"/>
      <w:marLeft w:val="0"/>
      <w:marRight w:val="0"/>
      <w:marTop w:val="0"/>
      <w:marBottom w:val="0"/>
      <w:divBdr>
        <w:top w:val="none" w:sz="0" w:space="0" w:color="auto"/>
        <w:left w:val="none" w:sz="0" w:space="0" w:color="auto"/>
        <w:bottom w:val="none" w:sz="0" w:space="0" w:color="auto"/>
        <w:right w:val="none" w:sz="0" w:space="0" w:color="auto"/>
      </w:divBdr>
    </w:div>
    <w:div w:id="83963320">
      <w:bodyDiv w:val="1"/>
      <w:marLeft w:val="0"/>
      <w:marRight w:val="0"/>
      <w:marTop w:val="0"/>
      <w:marBottom w:val="0"/>
      <w:divBdr>
        <w:top w:val="none" w:sz="0" w:space="0" w:color="auto"/>
        <w:left w:val="none" w:sz="0" w:space="0" w:color="auto"/>
        <w:bottom w:val="none" w:sz="0" w:space="0" w:color="auto"/>
        <w:right w:val="none" w:sz="0" w:space="0" w:color="auto"/>
      </w:divBdr>
    </w:div>
    <w:div w:id="93987475">
      <w:bodyDiv w:val="1"/>
      <w:marLeft w:val="0"/>
      <w:marRight w:val="0"/>
      <w:marTop w:val="0"/>
      <w:marBottom w:val="0"/>
      <w:divBdr>
        <w:top w:val="none" w:sz="0" w:space="0" w:color="auto"/>
        <w:left w:val="none" w:sz="0" w:space="0" w:color="auto"/>
        <w:bottom w:val="none" w:sz="0" w:space="0" w:color="auto"/>
        <w:right w:val="none" w:sz="0" w:space="0" w:color="auto"/>
      </w:divBdr>
    </w:div>
    <w:div w:id="143086155">
      <w:bodyDiv w:val="1"/>
      <w:marLeft w:val="0"/>
      <w:marRight w:val="0"/>
      <w:marTop w:val="0"/>
      <w:marBottom w:val="0"/>
      <w:divBdr>
        <w:top w:val="none" w:sz="0" w:space="0" w:color="auto"/>
        <w:left w:val="none" w:sz="0" w:space="0" w:color="auto"/>
        <w:bottom w:val="none" w:sz="0" w:space="0" w:color="auto"/>
        <w:right w:val="none" w:sz="0" w:space="0" w:color="auto"/>
      </w:divBdr>
    </w:div>
    <w:div w:id="320891212">
      <w:bodyDiv w:val="1"/>
      <w:marLeft w:val="0"/>
      <w:marRight w:val="0"/>
      <w:marTop w:val="0"/>
      <w:marBottom w:val="0"/>
      <w:divBdr>
        <w:top w:val="none" w:sz="0" w:space="0" w:color="auto"/>
        <w:left w:val="none" w:sz="0" w:space="0" w:color="auto"/>
        <w:bottom w:val="none" w:sz="0" w:space="0" w:color="auto"/>
        <w:right w:val="none" w:sz="0" w:space="0" w:color="auto"/>
      </w:divBdr>
    </w:div>
    <w:div w:id="328217353">
      <w:bodyDiv w:val="1"/>
      <w:marLeft w:val="0"/>
      <w:marRight w:val="0"/>
      <w:marTop w:val="0"/>
      <w:marBottom w:val="0"/>
      <w:divBdr>
        <w:top w:val="none" w:sz="0" w:space="0" w:color="auto"/>
        <w:left w:val="none" w:sz="0" w:space="0" w:color="auto"/>
        <w:bottom w:val="none" w:sz="0" w:space="0" w:color="auto"/>
        <w:right w:val="none" w:sz="0" w:space="0" w:color="auto"/>
      </w:divBdr>
    </w:div>
    <w:div w:id="467942845">
      <w:bodyDiv w:val="1"/>
      <w:marLeft w:val="0"/>
      <w:marRight w:val="0"/>
      <w:marTop w:val="0"/>
      <w:marBottom w:val="0"/>
      <w:divBdr>
        <w:top w:val="none" w:sz="0" w:space="0" w:color="auto"/>
        <w:left w:val="none" w:sz="0" w:space="0" w:color="auto"/>
        <w:bottom w:val="none" w:sz="0" w:space="0" w:color="auto"/>
        <w:right w:val="none" w:sz="0" w:space="0" w:color="auto"/>
      </w:divBdr>
    </w:div>
    <w:div w:id="535460574">
      <w:bodyDiv w:val="1"/>
      <w:marLeft w:val="0"/>
      <w:marRight w:val="0"/>
      <w:marTop w:val="0"/>
      <w:marBottom w:val="0"/>
      <w:divBdr>
        <w:top w:val="none" w:sz="0" w:space="0" w:color="auto"/>
        <w:left w:val="none" w:sz="0" w:space="0" w:color="auto"/>
        <w:bottom w:val="none" w:sz="0" w:space="0" w:color="auto"/>
        <w:right w:val="none" w:sz="0" w:space="0" w:color="auto"/>
      </w:divBdr>
    </w:div>
    <w:div w:id="796220756">
      <w:bodyDiv w:val="1"/>
      <w:marLeft w:val="0"/>
      <w:marRight w:val="0"/>
      <w:marTop w:val="0"/>
      <w:marBottom w:val="0"/>
      <w:divBdr>
        <w:top w:val="none" w:sz="0" w:space="0" w:color="auto"/>
        <w:left w:val="none" w:sz="0" w:space="0" w:color="auto"/>
        <w:bottom w:val="none" w:sz="0" w:space="0" w:color="auto"/>
        <w:right w:val="none" w:sz="0" w:space="0" w:color="auto"/>
      </w:divBdr>
    </w:div>
    <w:div w:id="988242898">
      <w:bodyDiv w:val="1"/>
      <w:marLeft w:val="0"/>
      <w:marRight w:val="0"/>
      <w:marTop w:val="0"/>
      <w:marBottom w:val="0"/>
      <w:divBdr>
        <w:top w:val="none" w:sz="0" w:space="0" w:color="auto"/>
        <w:left w:val="none" w:sz="0" w:space="0" w:color="auto"/>
        <w:bottom w:val="none" w:sz="0" w:space="0" w:color="auto"/>
        <w:right w:val="none" w:sz="0" w:space="0" w:color="auto"/>
      </w:divBdr>
    </w:div>
    <w:div w:id="1359816978">
      <w:bodyDiv w:val="1"/>
      <w:marLeft w:val="0"/>
      <w:marRight w:val="0"/>
      <w:marTop w:val="0"/>
      <w:marBottom w:val="0"/>
      <w:divBdr>
        <w:top w:val="none" w:sz="0" w:space="0" w:color="auto"/>
        <w:left w:val="none" w:sz="0" w:space="0" w:color="auto"/>
        <w:bottom w:val="none" w:sz="0" w:space="0" w:color="auto"/>
        <w:right w:val="none" w:sz="0" w:space="0" w:color="auto"/>
      </w:divBdr>
    </w:div>
    <w:div w:id="171195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87CB7-9DE4-4393-880B-6CB2CF490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1394</Words>
  <Characters>7952</Characters>
  <Application>Microsoft Office Word</Application>
  <DocSecurity>0</DocSecurity>
  <Lines>66</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IALA COUNCIL</vt:lpstr>
      <vt:lpstr>IALA COUNCIL</vt:lpstr>
      <vt:lpstr>IALA COUNCIL</vt:lpstr>
    </vt:vector>
  </TitlesOfParts>
  <Company>IALA</Company>
  <LinksUpToDate>false</LinksUpToDate>
  <CharactersWithSpaces>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COUNCIL</dc:title>
  <dc:creator>Marie-Hélène</dc:creator>
  <cp:lastModifiedBy>Seamus Doyle</cp:lastModifiedBy>
  <cp:revision>10</cp:revision>
  <cp:lastPrinted>2016-06-15T09:41:00Z</cp:lastPrinted>
  <dcterms:created xsi:type="dcterms:W3CDTF">2016-08-29T09:55:00Z</dcterms:created>
  <dcterms:modified xsi:type="dcterms:W3CDTF">2016-09-07T10:24:00Z</dcterms:modified>
</cp:coreProperties>
</file>